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eastAsia" w:asciiTheme="minorEastAsia" w:hAnsiTheme="minorEastAsia" w:eastAsiaTheme="minorEastAsia" w:cstheme="minorEastAsia"/>
          <w:b w:val="0"/>
          <w:bCs w:val="0"/>
          <w:sz w:val="32"/>
          <w:szCs w:val="32"/>
          <w:lang w:val="en-US" w:eastAsia="zh-CN"/>
        </w:rPr>
      </w:pPr>
      <w:r>
        <w:rPr>
          <w:rFonts w:hint="eastAsia" w:asciiTheme="minorEastAsia" w:hAnsiTheme="minorEastAsia" w:eastAsiaTheme="minorEastAsia" w:cstheme="minorEastAsia"/>
          <w:b w:val="0"/>
          <w:bCs w:val="0"/>
          <w:sz w:val="32"/>
          <w:szCs w:val="32"/>
          <w:lang w:eastAsia="zh-CN"/>
        </w:rPr>
        <w:t>附件</w:t>
      </w:r>
      <w:r>
        <w:rPr>
          <w:rFonts w:hint="eastAsia" w:asciiTheme="minorEastAsia" w:hAnsiTheme="minorEastAsia" w:eastAsiaTheme="minorEastAsia" w:cstheme="minorEastAsia"/>
          <w:b w:val="0"/>
          <w:bCs w:val="0"/>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bCs/>
          <w:sz w:val="44"/>
          <w:szCs w:val="44"/>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广元白龙湖风景名胜区三水一体协同管控</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体系建设项目建设方案</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heme="minorAscii" w:hAnsiTheme="minorAscii" w:eastAsiaTheme="minorEastAsia" w:cstheme="minorEastAsia"/>
          <w:sz w:val="24"/>
          <w:szCs w:val="24"/>
        </w:rPr>
      </w:pPr>
    </w:p>
    <w:p>
      <w:pPr>
        <w:pStyle w:val="2"/>
        <w:pageBreakBefore w:val="0"/>
        <w:widowControl w:val="0"/>
        <w:kinsoku/>
        <w:wordWrap/>
        <w:overflowPunct/>
        <w:topLinePunct w:val="0"/>
        <w:autoSpaceDE/>
        <w:autoSpaceDN/>
        <w:bidi w:val="0"/>
        <w:spacing w:before="166" w:after="166" w:line="300" w:lineRule="exact"/>
        <w:rPr>
          <w:rFonts w:hint="default" w:asciiTheme="minorAscii" w:hAnsiTheme="minorAscii" w:eastAsiaTheme="minorEastAsia" w:cstheme="minorEastAsia"/>
          <w:sz w:val="24"/>
          <w:szCs w:val="24"/>
        </w:rPr>
      </w:pPr>
      <w:bookmarkStart w:id="0" w:name="_Toc16755"/>
      <w:bookmarkStart w:id="1" w:name="_Toc374857154"/>
      <w:bookmarkStart w:id="2" w:name="_Toc29218"/>
      <w:r>
        <w:rPr>
          <w:rFonts w:hint="default" w:asciiTheme="minorAscii" w:hAnsiTheme="minorAscii" w:eastAsiaTheme="minorEastAsia" w:cstheme="minorEastAsia"/>
          <w:sz w:val="24"/>
          <w:szCs w:val="24"/>
        </w:rPr>
        <w:t>总体思路</w:t>
      </w:r>
      <w:bookmarkEnd w:id="0"/>
      <w:bookmarkEnd w:id="1"/>
      <w:bookmarkEnd w:id="2"/>
    </w:p>
    <w:p>
      <w:pPr>
        <w:pStyle w:val="4"/>
        <w:pageBreakBefore w:val="0"/>
        <w:widowControl w:val="0"/>
        <w:kinsoku/>
        <w:wordWrap/>
        <w:overflowPunct/>
        <w:topLinePunct w:val="0"/>
        <w:autoSpaceDE/>
        <w:autoSpaceDN/>
        <w:bidi w:val="0"/>
        <w:spacing w:before="166" w:after="166" w:line="300" w:lineRule="exact"/>
        <w:rPr>
          <w:rFonts w:hint="default" w:asciiTheme="minorAscii" w:hAnsiTheme="minorAscii" w:eastAsiaTheme="minorEastAsia" w:cstheme="minorEastAsia"/>
          <w:sz w:val="24"/>
          <w:szCs w:val="24"/>
        </w:rPr>
      </w:pPr>
      <w:bookmarkStart w:id="3" w:name="_Toc2404"/>
      <w:bookmarkStart w:id="4" w:name="_Toc32389"/>
      <w:bookmarkStart w:id="5" w:name="_Toc2046462994"/>
      <w:r>
        <w:rPr>
          <w:rFonts w:hint="default" w:asciiTheme="minorAscii" w:hAnsiTheme="minorAscii" w:eastAsiaTheme="minorEastAsia" w:cstheme="minorEastAsia"/>
          <w:sz w:val="24"/>
          <w:szCs w:val="24"/>
        </w:rPr>
        <w:t>政策法规、技术标准及规范</w:t>
      </w:r>
      <w:bookmarkEnd w:id="3"/>
      <w:bookmarkEnd w:id="4"/>
      <w:bookmarkEnd w:id="5"/>
    </w:p>
    <w:p>
      <w:pPr>
        <w:pStyle w:val="5"/>
        <w:pageBreakBefore w:val="0"/>
        <w:widowControl w:val="0"/>
        <w:kinsoku/>
        <w:wordWrap/>
        <w:overflowPunct/>
        <w:topLinePunct w:val="0"/>
        <w:autoSpaceDE/>
        <w:autoSpaceDN/>
        <w:bidi w:val="0"/>
        <w:spacing w:line="300" w:lineRule="exact"/>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国家相关法律法规</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1）《中华人民共和国环境保护法》（2015年）；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2）《中华人民共和国长江保护法》（2020年）；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3）《中华人民共和国土地管理法》（2019年）；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4）《中华人民共和国水法》（2016年）；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5）《中华人民共和国水土保持法》（2011年）；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6）《中华人民共和国水污染防治法》（2017年）；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7）《中华人民共和国固体废物污染环境防治法》（2016年）；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rPr>
        <w:t>8）</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中华人民共和国网络安全法</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2016年</w:t>
      </w:r>
      <w:r>
        <w:rPr>
          <w:rFonts w:hint="default" w:asciiTheme="minorAscii" w:hAnsiTheme="minorAscii" w:eastAsiaTheme="minorEastAsia" w:cstheme="minorEastAsia"/>
          <w:sz w:val="24"/>
          <w:szCs w:val="24"/>
          <w:lang w:eastAsia="zh-CN"/>
        </w:rPr>
        <w:t>）</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rPr>
        <w:t>9）</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中华人民共和国数据安全法</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2021年</w:t>
      </w:r>
      <w:r>
        <w:rPr>
          <w:rFonts w:hint="default" w:asciiTheme="minorAscii" w:hAnsiTheme="minorAscii" w:eastAsiaTheme="minorEastAsia" w:cstheme="minorEastAsia"/>
          <w:sz w:val="24"/>
          <w:szCs w:val="24"/>
          <w:lang w:eastAsia="zh-CN"/>
        </w:rPr>
        <w:t>）</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rPr>
        <w:t>10）</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中华人民共和国个人信息保护法</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2021</w:t>
      </w:r>
      <w:r>
        <w:rPr>
          <w:rFonts w:hint="default" w:asciiTheme="minorAscii" w:hAnsiTheme="minorAscii" w:eastAsiaTheme="minorEastAsia" w:cstheme="minorEastAsia"/>
          <w:sz w:val="24"/>
          <w:szCs w:val="24"/>
          <w:lang w:eastAsia="zh-CN"/>
        </w:rPr>
        <w:t>）</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11）《风景名胜区条例》（2006年）；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12）《中华人民共和国河道管理条例》；</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13）《水库大坝安全管理条例》（2018年第二次修订）；</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14）《河道管理范围内建设项目管理的有关规定》（2017年修正）；</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pacing w:val="0"/>
          <w:sz w:val="24"/>
          <w:szCs w:val="24"/>
        </w:rPr>
        <w:t>15）</w:t>
      </w:r>
      <w:r>
        <w:rPr>
          <w:rFonts w:hint="default" w:asciiTheme="minorAscii" w:hAnsiTheme="minorAscii" w:eastAsiaTheme="minorEastAsia" w:cstheme="minorEastAsia"/>
          <w:sz w:val="24"/>
          <w:szCs w:val="24"/>
        </w:rPr>
        <w:t>《饮用水水源保护区污染防治管理规定》（国家环境保护局、卫生部、建设部、水利部、地矿部，1989年）；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16）《水上水下作业和活动通航安全管理规定》（2021年）；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17）《政务数据共享条例》（2025年）</w:t>
      </w:r>
    </w:p>
    <w:p>
      <w:pPr>
        <w:pStyle w:val="16"/>
        <w:pageBreakBefore w:val="0"/>
        <w:widowControl w:val="0"/>
        <w:kinsoku/>
        <w:wordWrap/>
        <w:overflowPunct/>
        <w:topLinePunct w:val="0"/>
        <w:autoSpaceDE/>
        <w:autoSpaceDN/>
        <w:bidi w:val="0"/>
        <w:adjustRightInd w:val="0"/>
        <w:snapToGrid/>
        <w:spacing w:before="0" w:beforeLines="0" w:after="0" w:afterLines="0" w:line="300" w:lineRule="exact"/>
        <w:ind w:left="1170" w:leftChars="200" w:hanging="750" w:hangingChars="25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18）</w:t>
      </w:r>
      <w:r>
        <w:rPr>
          <w:rFonts w:hint="default" w:asciiTheme="minorAscii" w:hAnsiTheme="minorAscii" w:eastAsiaTheme="minorEastAsia" w:cstheme="minorEastAsia"/>
          <w:spacing w:val="0"/>
          <w:sz w:val="24"/>
          <w:szCs w:val="24"/>
        </w:rPr>
        <w:t>《互联网政务应用安全管理规定》（2024年）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19）《四川省环境保护条例》（2017年）；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20）《四川省饮用水水源保护管理条例》（2019年修订）；</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21）《四川省嘉陵江流域生态环境保护条例》（2022年）；</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22）《四川省河道管理实施办法》（四川省人民政府令第40号）；</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23）</w:t>
      </w:r>
      <w:r>
        <w:rPr>
          <w:rFonts w:hint="default" w:asciiTheme="minorAscii" w:hAnsiTheme="minorAscii" w:eastAsiaTheme="minorEastAsia" w:cstheme="minorEastAsia"/>
          <w:sz w:val="24"/>
          <w:szCs w:val="24"/>
        </w:rPr>
        <w:t>《四川省水利工程管理条例》；</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24）</w:t>
      </w:r>
      <w:r>
        <w:rPr>
          <w:rFonts w:hint="default" w:asciiTheme="minorAscii" w:hAnsiTheme="minorAscii" w:eastAsiaTheme="minorEastAsia" w:cstheme="minorEastAsia"/>
          <w:sz w:val="24"/>
          <w:szCs w:val="24"/>
        </w:rPr>
        <w:t>《四川省水域保护办法》；</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25）</w:t>
      </w:r>
      <w:r>
        <w:rPr>
          <w:rFonts w:hint="default" w:asciiTheme="minorAscii" w:hAnsiTheme="minorAscii" w:eastAsiaTheme="minorEastAsia" w:cstheme="minorEastAsia"/>
          <w:sz w:val="24"/>
          <w:szCs w:val="24"/>
        </w:rPr>
        <w:t>《广元市白龙湖亭子湖保护条例》。</w:t>
      </w:r>
    </w:p>
    <w:p>
      <w:pPr>
        <w:pStyle w:val="5"/>
        <w:keepNext/>
        <w:keepLines/>
        <w:pageBreakBefore w:val="0"/>
        <w:widowControl w:val="0"/>
        <w:kinsoku/>
        <w:wordWrap/>
        <w:overflowPunct/>
        <w:topLinePunct w:val="0"/>
        <w:autoSpaceDE/>
        <w:autoSpaceDN/>
        <w:bidi w:val="0"/>
        <w:adjustRightInd/>
        <w:snapToGrid w:val="0"/>
        <w:spacing w:before="333" w:beforeLines="100" w:after="0" w:afterLines="0"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政策依据</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1）《中华人民共和国国民经济和社会发展第十四个五年规划纲要》；</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2）《国务院关于印发“十四五”生态环境保护规划的通知》；</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w:t>
      </w:r>
      <w:r>
        <w:rPr>
          <w:rFonts w:hint="default" w:asciiTheme="minorAscii" w:hAnsiTheme="minorAscii" w:eastAsiaTheme="minorEastAsia" w:cstheme="minorEastAsia"/>
          <w:spacing w:val="10"/>
          <w:sz w:val="24"/>
          <w:szCs w:val="24"/>
        </w:rPr>
        <w:t>《国家信息化发展战略纲要》</w:t>
      </w:r>
      <w:r>
        <w:rPr>
          <w:rFonts w:hint="default" w:asciiTheme="minorAscii" w:hAnsiTheme="minorAscii" w:eastAsiaTheme="minorEastAsia" w:cstheme="minorEastAsia"/>
          <w:sz w:val="24"/>
          <w:szCs w:val="24"/>
        </w:rPr>
        <w:t>；</w:t>
      </w:r>
    </w:p>
    <w:p>
      <w:pPr>
        <w:pageBreakBefore w:val="0"/>
        <w:widowControl w:val="0"/>
        <w:kinsoku/>
        <w:wordWrap/>
        <w:overflowPunct/>
        <w:topLinePunct w:val="0"/>
        <w:autoSpaceDE/>
        <w:autoSpaceDN/>
        <w:bidi w:val="0"/>
        <w:adjustRightInd w:val="0"/>
        <w:snapToGrid/>
        <w:spacing w:line="300" w:lineRule="exact"/>
        <w:ind w:left="900" w:leftChars="200" w:hanging="480" w:hangingChars="20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《国务院办公厅关于印发国家政务信息化项目建设管理办法的通知》（国办发〔2019〕57号）；</w:t>
      </w:r>
    </w:p>
    <w:p>
      <w:pPr>
        <w:pageBreakBefore w:val="0"/>
        <w:widowControl w:val="0"/>
        <w:kinsoku/>
        <w:wordWrap/>
        <w:overflowPunct/>
        <w:topLinePunct w:val="0"/>
        <w:autoSpaceDE/>
        <w:autoSpaceDN/>
        <w:bidi w:val="0"/>
        <w:snapToGrid/>
        <w:spacing w:line="300" w:lineRule="exact"/>
        <w:ind w:left="900" w:leftChars="200" w:hanging="480" w:hangingChars="20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5）《国务院办公厅关于印发政务信息系统整合共享实施方案的通知》（国办发〔2017〕39号）</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6</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pacing w:val="10"/>
          <w:sz w:val="24"/>
          <w:szCs w:val="24"/>
        </w:rPr>
        <w:t>《国家环保部先进的环境监测预警体系建设纲要》</w:t>
      </w:r>
      <w:r>
        <w:rPr>
          <w:rFonts w:hint="default" w:asciiTheme="minorAscii" w:hAnsiTheme="minorAscii" w:eastAsiaTheme="minorEastAsia" w:cstheme="minorEastAsia"/>
          <w:sz w:val="24"/>
          <w:szCs w:val="24"/>
        </w:rPr>
        <w:t>；</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7</w:t>
      </w:r>
      <w:r>
        <w:rPr>
          <w:rFonts w:hint="default" w:asciiTheme="minorAscii" w:hAnsiTheme="minorAscii" w:eastAsiaTheme="minorEastAsia" w:cstheme="minorEastAsia"/>
          <w:sz w:val="24"/>
          <w:szCs w:val="24"/>
        </w:rPr>
        <w:t>）《生态环境大数据建设总体方案》（环办厅〔2016〕23号）；</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8</w:t>
      </w:r>
      <w:r>
        <w:rPr>
          <w:rFonts w:hint="default" w:asciiTheme="minorAscii" w:hAnsiTheme="minorAscii" w:eastAsiaTheme="minorEastAsia" w:cstheme="minorEastAsia"/>
          <w:sz w:val="24"/>
          <w:szCs w:val="24"/>
        </w:rPr>
        <w:t>）《生态文明体制改革总体方案》；</w:t>
      </w:r>
    </w:p>
    <w:p>
      <w:pPr>
        <w:pageBreakBefore w:val="0"/>
        <w:widowControl w:val="0"/>
        <w:kinsoku/>
        <w:wordWrap/>
        <w:overflowPunct/>
        <w:topLinePunct w:val="0"/>
        <w:autoSpaceDE/>
        <w:autoSpaceDN/>
        <w:bidi w:val="0"/>
        <w:adjustRightInd w:val="0"/>
        <w:snapToGrid/>
        <w:spacing w:line="300" w:lineRule="exact"/>
        <w:ind w:left="420" w:leftChars="20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9</w:t>
      </w:r>
      <w:r>
        <w:rPr>
          <w:rFonts w:hint="default" w:asciiTheme="minorAscii" w:hAnsiTheme="minorAscii" w:eastAsiaTheme="minorEastAsia" w:cstheme="minorEastAsia"/>
          <w:sz w:val="24"/>
          <w:szCs w:val="24"/>
        </w:rPr>
        <w:t>）《中央生态环境资金项目储备库入库指南》（2021年）</w:t>
      </w:r>
    </w:p>
    <w:p>
      <w:pPr>
        <w:pageBreakBefore w:val="0"/>
        <w:widowControl w:val="0"/>
        <w:kinsoku/>
        <w:wordWrap/>
        <w:overflowPunct/>
        <w:topLinePunct w:val="0"/>
        <w:autoSpaceDE/>
        <w:autoSpaceDN/>
        <w:bidi w:val="0"/>
        <w:adjustRightInd w:val="0"/>
        <w:snapToGrid/>
        <w:spacing w:line="300" w:lineRule="exact"/>
        <w:ind w:left="900" w:leftChars="200" w:hanging="480" w:hangingChars="20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10</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pacing w:val="10"/>
          <w:sz w:val="24"/>
          <w:szCs w:val="24"/>
        </w:rPr>
        <w:t>《</w:t>
      </w:r>
      <w:r>
        <w:rPr>
          <w:rFonts w:hint="default" w:asciiTheme="minorAscii" w:hAnsiTheme="minorAscii" w:eastAsiaTheme="minorEastAsia" w:cstheme="minorEastAsia"/>
          <w:sz w:val="24"/>
          <w:szCs w:val="24"/>
        </w:rPr>
        <w:t>国家九部委《关于加强公共安全视频监控建设联网应用工作的若干意见》（发改高技〔2015〕996号）；</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w:t>
      </w:r>
      <w:r>
        <w:rPr>
          <w:rFonts w:hint="default" w:asciiTheme="minorAscii" w:hAnsiTheme="minorAscii" w:eastAsiaTheme="minorEastAsia" w:cstheme="minorEastAsia"/>
          <w:sz w:val="24"/>
          <w:szCs w:val="24"/>
          <w:lang w:val="en-US" w:eastAsia="zh-CN"/>
        </w:rPr>
        <w:t>1</w:t>
      </w:r>
      <w:r>
        <w:rPr>
          <w:rFonts w:hint="default" w:asciiTheme="minorAscii" w:hAnsiTheme="minorAscii" w:eastAsiaTheme="minorEastAsia" w:cstheme="minorEastAsia"/>
          <w:sz w:val="24"/>
          <w:szCs w:val="24"/>
        </w:rPr>
        <w:t>）《中共中央办公厅 国务院办公厅印发&lt;关于全面推行河长制的意见&gt;的通知》（厅字[2016]42号）；</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w:t>
      </w:r>
      <w:r>
        <w:rPr>
          <w:rFonts w:hint="default" w:asciiTheme="minorAscii" w:hAnsiTheme="minorAscii" w:eastAsiaTheme="minorEastAsia" w:cstheme="minorEastAsia"/>
          <w:sz w:val="24"/>
          <w:szCs w:val="24"/>
          <w:lang w:val="en-US" w:eastAsia="zh-CN"/>
        </w:rPr>
        <w:t>2</w:t>
      </w:r>
      <w:r>
        <w:rPr>
          <w:rFonts w:hint="default" w:asciiTheme="minorAscii" w:hAnsiTheme="minorAscii" w:eastAsiaTheme="minorEastAsia" w:cstheme="minorEastAsia"/>
          <w:sz w:val="24"/>
          <w:szCs w:val="24"/>
        </w:rPr>
        <w:t>）《中共中央办公厅 国务院办公厅印发&lt;关于在湖泊实施湖长制的指导意见&gt;的通知》（厅字[2017]51号）；</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w:t>
      </w:r>
      <w:r>
        <w:rPr>
          <w:rFonts w:hint="default" w:asciiTheme="minorAscii" w:hAnsiTheme="minorAscii" w:eastAsiaTheme="minorEastAsia" w:cstheme="minorEastAsia"/>
          <w:sz w:val="24"/>
          <w:szCs w:val="24"/>
          <w:lang w:val="en-US" w:eastAsia="zh-CN"/>
        </w:rPr>
        <w:t>3</w:t>
      </w:r>
      <w:r>
        <w:rPr>
          <w:rFonts w:hint="default" w:asciiTheme="minorAscii" w:hAnsiTheme="minorAscii" w:eastAsiaTheme="minorEastAsia" w:cstheme="minorEastAsia"/>
          <w:sz w:val="24"/>
          <w:szCs w:val="24"/>
        </w:rPr>
        <w:t>）《水利部关于印发加快推进智慧水利的指导意见和智慧水利总体方案的通知》（水信息[2019]220号）；</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pacing w:val="10"/>
          <w:sz w:val="24"/>
          <w:szCs w:val="24"/>
        </w:rPr>
      </w:pPr>
      <w:r>
        <w:rPr>
          <w:rFonts w:hint="default" w:asciiTheme="minorAscii" w:hAnsiTheme="minorAscii" w:eastAsiaTheme="minorEastAsia" w:cstheme="minorEastAsia"/>
          <w:sz w:val="24"/>
          <w:szCs w:val="24"/>
        </w:rPr>
        <w:t>1</w:t>
      </w:r>
      <w:r>
        <w:rPr>
          <w:rFonts w:hint="default" w:asciiTheme="minorAscii" w:hAnsiTheme="minorAscii" w:eastAsiaTheme="minorEastAsia" w:cstheme="minorEastAsia"/>
          <w:sz w:val="24"/>
          <w:szCs w:val="24"/>
          <w:lang w:val="en-US" w:eastAsia="zh-CN"/>
        </w:rPr>
        <w:t>4</w:t>
      </w:r>
      <w:r>
        <w:rPr>
          <w:rFonts w:hint="default" w:asciiTheme="minorAscii" w:hAnsiTheme="minorAscii" w:eastAsiaTheme="minorEastAsia" w:cstheme="minorEastAsia"/>
          <w:sz w:val="24"/>
          <w:szCs w:val="24"/>
        </w:rPr>
        <w:t>）《四川省人民政府办公厅关于印发四川省省级政务信息化项目管理办法的通知》（川办发〔2021〕49号）</w:t>
      </w:r>
      <w:r>
        <w:rPr>
          <w:rFonts w:hint="default" w:asciiTheme="minorAscii" w:hAnsiTheme="minorAscii" w:eastAsiaTheme="minorEastAsia" w:cstheme="minorEastAsia"/>
          <w:spacing w:val="10"/>
          <w:sz w:val="24"/>
          <w:szCs w:val="24"/>
        </w:rPr>
        <w:t>；</w:t>
      </w:r>
    </w:p>
    <w:p>
      <w:pPr>
        <w:keepNext w:val="0"/>
        <w:keepLines w:val="0"/>
        <w:pageBreakBefore w:val="0"/>
        <w:widowControl w:val="0"/>
        <w:kinsoku/>
        <w:wordWrap/>
        <w:overflowPunct/>
        <w:topLinePunct w:val="0"/>
        <w:autoSpaceDE/>
        <w:autoSpaceDN/>
        <w:bidi w:val="0"/>
        <w:adjustRightInd w:val="0"/>
        <w:snapToGrid/>
        <w:spacing w:line="300" w:lineRule="exact"/>
        <w:ind w:left="940" w:leftChars="200" w:hanging="520" w:hangingChars="200"/>
        <w:textAlignment w:val="auto"/>
        <w:rPr>
          <w:rFonts w:hint="default" w:asciiTheme="minorAscii" w:hAnsiTheme="minorAscii" w:eastAsiaTheme="minorEastAsia" w:cstheme="minorEastAsia"/>
          <w:spacing w:val="10"/>
          <w:sz w:val="24"/>
          <w:szCs w:val="24"/>
          <w:lang w:val="en-US" w:eastAsia="zh-CN"/>
        </w:rPr>
      </w:pPr>
      <w:r>
        <w:rPr>
          <w:rFonts w:hint="default" w:asciiTheme="minorAscii" w:hAnsiTheme="minorAscii" w:eastAsiaTheme="minorEastAsia" w:cstheme="minorEastAsia"/>
          <w:spacing w:val="10"/>
          <w:sz w:val="24"/>
          <w:szCs w:val="24"/>
          <w:lang w:val="en-US" w:eastAsia="zh-CN"/>
        </w:rPr>
        <w:t>15</w:t>
      </w:r>
      <w:r>
        <w:rPr>
          <w:rFonts w:hint="default" w:asciiTheme="minorAscii" w:hAnsiTheme="minorAscii" w:eastAsiaTheme="minorEastAsia" w:cstheme="minorEastAsia"/>
          <w:sz w:val="24"/>
          <w:szCs w:val="24"/>
        </w:rPr>
        <w:t>）《四川省生态环境厅办公室关于印发</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四川省生态环境厅中央和省级财政生态环境保护专项资金项目管理办法</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的通知》</w:t>
      </w:r>
      <w:r>
        <w:rPr>
          <w:rFonts w:hint="default" w:asciiTheme="minorAscii" w:hAnsiTheme="minorAscii" w:eastAsiaTheme="minorEastAsia" w:cstheme="minorEastAsia"/>
          <w:sz w:val="24"/>
          <w:szCs w:val="24"/>
          <w:lang w:eastAsia="zh-CN"/>
        </w:rPr>
        <w:t>（川环办函〔2025〕292号）</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w:t>
      </w:r>
      <w:r>
        <w:rPr>
          <w:rFonts w:hint="default" w:asciiTheme="minorAscii" w:hAnsiTheme="minorAscii" w:eastAsiaTheme="minorEastAsia" w:cstheme="minorEastAsia"/>
          <w:sz w:val="24"/>
          <w:szCs w:val="24"/>
          <w:lang w:val="en-US" w:eastAsia="zh-CN"/>
        </w:rPr>
        <w:t>6</w:t>
      </w:r>
      <w:r>
        <w:rPr>
          <w:rFonts w:hint="default" w:asciiTheme="minorAscii" w:hAnsiTheme="minorAscii" w:eastAsiaTheme="minorEastAsia" w:cstheme="minorEastAsia"/>
          <w:sz w:val="24"/>
          <w:szCs w:val="24"/>
        </w:rPr>
        <w:t>）《广元市人民政府办公室关于印发〈广元市市级政务信息化项目管理办法（试行）〉的通知》（广府办发〔2022〕19号）；</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w:t>
      </w:r>
      <w:r>
        <w:rPr>
          <w:rFonts w:hint="default" w:asciiTheme="minorAscii" w:hAnsiTheme="minorAscii" w:eastAsiaTheme="minorEastAsia" w:cstheme="minorEastAsia"/>
          <w:sz w:val="24"/>
          <w:szCs w:val="24"/>
          <w:lang w:val="en-US" w:eastAsia="zh-CN"/>
        </w:rPr>
        <w:t>7</w:t>
      </w:r>
      <w:r>
        <w:rPr>
          <w:rFonts w:hint="default" w:asciiTheme="minorAscii" w:hAnsiTheme="minorAscii" w:eastAsiaTheme="minorEastAsia" w:cstheme="minorEastAsia"/>
          <w:sz w:val="24"/>
          <w:szCs w:val="24"/>
        </w:rPr>
        <w:t>）《广元市发展和改革委员会关于白龙湖风景名胜区三水一体协同管控体系建设项目可行性研究报告的批复》（广发〔2022〕536号）。</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18）《研究广元白龙湖风景名胜区三水一体协同管控体系建设项目推进工作专题会议纪要》（广府阅〔2026〕11号）。</w:t>
      </w:r>
    </w:p>
    <w:p>
      <w:pPr>
        <w:pStyle w:val="5"/>
        <w:keepNext/>
        <w:keepLines/>
        <w:pageBreakBefore w:val="0"/>
        <w:widowControl w:val="0"/>
        <w:kinsoku/>
        <w:wordWrap/>
        <w:overflowPunct/>
        <w:topLinePunct w:val="0"/>
        <w:autoSpaceDE/>
        <w:autoSpaceDN/>
        <w:bidi w:val="0"/>
        <w:adjustRightInd/>
        <w:snapToGrid w:val="0"/>
        <w:spacing w:before="333" w:beforeLines="100" w:after="0" w:afterLines="0"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标准规范</w:t>
      </w:r>
    </w:p>
    <w:p>
      <w:pPr>
        <w:pageBreakBefore w:val="0"/>
        <w:widowControl w:val="0"/>
        <w:kinsoku/>
        <w:wordWrap/>
        <w:overflowPunct/>
        <w:topLinePunct w:val="0"/>
        <w:autoSpaceDE/>
        <w:autoSpaceDN/>
        <w:bidi w:val="0"/>
        <w:adjustRightInd w:val="0"/>
        <w:snapToGrid/>
        <w:spacing w:line="300" w:lineRule="exact"/>
        <w:ind w:left="900" w:leftChars="200" w:hanging="480" w:hangingChars="20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1）《推进互联网协议第六版（IPv6）规模部署行动计划》（中共中央办公厅 国务院办公厅）；</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2）《环境信息术语》（HJ/T416-2007）；</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3）《生态环境信息化标准体系指南》（HJ 511-2024）；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4）《生态环境信息分类与代码》（HJ 417—2025）；</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5）《环境信息系统集成技术规范》（HJ/T418-2007）；</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6）《环境污染源自动监控信息传输、交换技术规范（试行）》（HJ/T352-2007）；</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7）《环境信息网络建设规范》（HJ460-2009）；</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8）《环境信息网络管理维护规范》（HJ461-2009）；</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9）《环境保护应用软件开发管理技术规范》（HJ622-2011）；</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10）《环境监测信息传输技术规定》（HJ660-2013）；</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11）《环境信息共享互联互通平台总体框架技术规范》（HJ718-2014）；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12）《环境信息元数据规范》（HJ720-2017）；</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13）《环境信息数据字典规范》（HJ723-2014）；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14）《环境数据集说明文档格式》（HJ722-2014）；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15）《环境空间数据交换技术规范》（HJ726-2014）；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16）《环境信息系统安全技术规范》（HJ729-2014）；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17）《环境信息系统测试与验收规范—软件部分》（HJ728-2014）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18）《环境信息交换技术规范》（HJ727-2014）；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19）《生态环境信息基本数据集编制规范》（HJ966-2018）；</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20）《地表水环境质量标准》（GB3838-2002）；</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21）《地下水环境监测技术规范》（HJ/164-2020）；</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22）《自动化仪表工程施工及质量验收规范》（GB 50093-2013）；</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23）《交流电气装置的接地设计规范》（GB/T50065-2011）；</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24）《水污染物排放总量监测技术规范》（HJ/T 92-2002）；</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25）《地表水环境质量监测技术规范》（HJ91.2-2022）；</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26）《水质河流采样技术指导》（HJ/T52-1999）；</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27）《pH 水质自动分析仪技术要求》（HJ/T96-2003）；</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28）《电导率水质自动分析仪技术要求》（HJ/T97-2003）；</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29）《浊度水质自动分析仪技术要求》（HJ/T98-2003）；</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30）《溶解氧（DO）水质自动分析仪技术要求》（HJ/T99-2003）；</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31）《水质总氮的测定碱性过硫酸钾消解紫外分光光度法》（HJ 636—2012）；</w:t>
      </w:r>
    </w:p>
    <w:p>
      <w:pPr>
        <w:pageBreakBefore w:val="0"/>
        <w:widowControl w:val="0"/>
        <w:kinsoku/>
        <w:wordWrap/>
        <w:overflowPunct/>
        <w:topLinePunct w:val="0"/>
        <w:autoSpaceDE/>
        <w:autoSpaceDN/>
        <w:bidi w:val="0"/>
        <w:adjustRightInd w:val="0"/>
        <w:snapToGrid/>
        <w:spacing w:line="300" w:lineRule="exact"/>
        <w:ind w:left="1020" w:leftChars="200" w:hanging="600" w:hangingChars="25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32）《城市监控报警联网系统 技术标准 第9部分：闸口信息识别、比对、监测系统技术要求》(GA/T 669.9-2008)；</w:t>
      </w:r>
    </w:p>
    <w:p>
      <w:pPr>
        <w:pageBreakBefore w:val="0"/>
        <w:widowControl w:val="0"/>
        <w:kinsoku/>
        <w:wordWrap/>
        <w:overflowPunct/>
        <w:topLinePunct w:val="0"/>
        <w:autoSpaceDE/>
        <w:autoSpaceDN/>
        <w:bidi w:val="0"/>
        <w:adjustRightInd w:val="0"/>
        <w:snapToGrid/>
        <w:spacing w:line="300" w:lineRule="exact"/>
        <w:ind w:left="900" w:leftChars="200" w:hanging="480" w:hangingChars="20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33）《公共安全视频监控联网系统信息传输、交换、控制技术要求》（GB/T 28181-2022）；</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34）《公共安全视频监控数字视音频编解码技术要求》(GB/T 25724-2017)；</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35）《安全防范工程技术标准》（GB 50348-2018）；</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36）《安全防范系统通用图形符号》（GA/T 74-2017）；</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37）《电气装置安装工程低压电器施工及验收规范》（GB 50254-2014)；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38）《计算机软件可靠性和可维护性管理》（GB/T 14394-2008)；</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39）《计算机软件需求规格说明规范》（GB/T 9385-2008)；</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40）《数据中心设计规范》（GB50174-2017）；</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41）《综合布线系统工程设计规范》（GB50311-2016）</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42）《综合布线系统工程验收规范》（GB/T 50312-2016）</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43）《建筑物电子信息系统防雷技术规范》 （GB50343-2012）；</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44）《视频显示系统工程技术规范》（GB50464-2008）；</w:t>
      </w:r>
    </w:p>
    <w:p>
      <w:pPr>
        <w:keepNext w:val="0"/>
        <w:keepLines w:val="0"/>
        <w:pageBreakBefore w:val="0"/>
        <w:widowControl w:val="0"/>
        <w:kinsoku/>
        <w:wordWrap/>
        <w:overflowPunct/>
        <w:topLinePunct w:val="0"/>
        <w:autoSpaceDE/>
        <w:autoSpaceDN/>
        <w:bidi w:val="0"/>
        <w:adjustRightInd/>
        <w:snapToGrid w:val="0"/>
        <w:spacing w:line="300" w:lineRule="exact"/>
        <w:ind w:left="900" w:leftChars="200" w:hanging="480" w:hanging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45）《公共安全视频监控联网系统信息传输、交换、控制技术要求》（GB/T 28181-2022）；</w:t>
      </w:r>
    </w:p>
    <w:p>
      <w:pPr>
        <w:keepNext w:val="0"/>
        <w:keepLines w:val="0"/>
        <w:pageBreakBefore w:val="0"/>
        <w:widowControl w:val="0"/>
        <w:kinsoku/>
        <w:wordWrap/>
        <w:overflowPunct/>
        <w:topLinePunct w:val="0"/>
        <w:autoSpaceDE/>
        <w:autoSpaceDN/>
        <w:bidi w:val="0"/>
        <w:adjustRightInd/>
        <w:snapToGrid w:val="0"/>
        <w:spacing w:line="300" w:lineRule="exact"/>
        <w:ind w:firstLine="48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46）《公共安全视频监控联网信息安全技术要求》（GB 35114-2017）；</w:t>
      </w:r>
    </w:p>
    <w:p>
      <w:pPr>
        <w:pStyle w:val="5"/>
        <w:keepNext w:val="0"/>
        <w:keepLines w:val="0"/>
        <w:pageBreakBefore w:val="0"/>
        <w:widowControl w:val="0"/>
        <w:kinsoku/>
        <w:wordWrap/>
        <w:overflowPunct/>
        <w:topLinePunct w:val="0"/>
        <w:autoSpaceDE/>
        <w:autoSpaceDN/>
        <w:bidi w:val="0"/>
        <w:adjustRightInd/>
        <w:snapToGrid w:val="0"/>
        <w:spacing w:before="333" w:beforeLines="100" w:after="0" w:afterLines="0"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政务信息系统标准规范</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1）《政务信息系统定义和范围》（GB/T 40692-2021）；</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2）《政务信息系统基本要求》（GB/T 44230-2024）；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3）《全国一体化政务大数据体系 第1部分：总体框架》（GB/T 45800.1-2025）</w:t>
      </w:r>
    </w:p>
    <w:p>
      <w:pPr>
        <w:keepNext w:val="0"/>
        <w:keepLines w:val="0"/>
        <w:pageBreakBefore w:val="0"/>
        <w:widowControl w:val="0"/>
        <w:kinsoku/>
        <w:wordWrap/>
        <w:overflowPunct/>
        <w:topLinePunct w:val="0"/>
        <w:autoSpaceDE/>
        <w:autoSpaceDN/>
        <w:bidi w:val="0"/>
        <w:adjustRightInd/>
        <w:snapToGrid/>
        <w:spacing w:line="300" w:lineRule="exact"/>
        <w:ind w:left="900" w:leftChars="200" w:hanging="480" w:hanging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w:t>
      </w:r>
      <w:r>
        <w:rPr>
          <w:rFonts w:hint="default" w:asciiTheme="minorAscii" w:hAnsiTheme="minorAscii" w:eastAsiaTheme="minorEastAsia" w:cstheme="minorEastAsia"/>
          <w:spacing w:val="-6"/>
          <w:sz w:val="24"/>
          <w:szCs w:val="24"/>
        </w:rPr>
        <w:t>《全国一体化政务大数据体系 第2部分：数据共享交换要求》（GB/T 45800.2-2025）</w:t>
      </w:r>
    </w:p>
    <w:p>
      <w:pPr>
        <w:pStyle w:val="5"/>
        <w:keepNext/>
        <w:keepLines/>
        <w:pageBreakBefore w:val="0"/>
        <w:widowControl w:val="0"/>
        <w:kinsoku/>
        <w:wordWrap/>
        <w:overflowPunct/>
        <w:topLinePunct w:val="0"/>
        <w:autoSpaceDE/>
        <w:autoSpaceDN/>
        <w:bidi w:val="0"/>
        <w:adjustRightInd/>
        <w:snapToGrid w:val="0"/>
        <w:spacing w:before="333" w:beforeLines="100" w:after="0" w:afterLines="0"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计算机信息系统标准规范</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1）《云计算服务协议参考框架》（YDB 144-2014）；</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2）《信息技术开放系统互连 网络层安全协议》（GB/T 17963-2000）。</w:t>
      </w:r>
    </w:p>
    <w:p>
      <w:pPr>
        <w:pStyle w:val="5"/>
        <w:keepNext/>
        <w:keepLines/>
        <w:pageBreakBefore w:val="0"/>
        <w:widowControl w:val="0"/>
        <w:kinsoku/>
        <w:wordWrap/>
        <w:overflowPunct/>
        <w:topLinePunct w:val="0"/>
        <w:autoSpaceDE/>
        <w:autoSpaceDN/>
        <w:bidi w:val="0"/>
        <w:adjustRightInd/>
        <w:snapToGrid w:val="0"/>
        <w:spacing w:before="333" w:beforeLines="100" w:after="0" w:afterLines="0"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软件类标准规范</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1）《信息技术软件工程术语》(GB/T 11457-2006)；</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2）《信息技术软件维护》(GB/T 20157-2006)；</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3）《信息技术软件生存周期过程配置管理》(GB/T 20158-2006)；</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4）《系统与软件工程 软件生存周期过程》(GB/T 8566-2022)。</w:t>
      </w:r>
    </w:p>
    <w:p>
      <w:pPr>
        <w:pStyle w:val="5"/>
        <w:keepNext/>
        <w:keepLines/>
        <w:pageBreakBefore w:val="0"/>
        <w:widowControl w:val="0"/>
        <w:kinsoku/>
        <w:wordWrap/>
        <w:overflowPunct/>
        <w:topLinePunct w:val="0"/>
        <w:autoSpaceDE/>
        <w:autoSpaceDN/>
        <w:bidi w:val="0"/>
        <w:adjustRightInd/>
        <w:snapToGrid w:val="0"/>
        <w:spacing w:before="333" w:beforeLines="100" w:after="0" w:afterLines="0"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信息安全类标准规范</w:t>
      </w:r>
    </w:p>
    <w:p>
      <w:pPr>
        <w:pageBreakBefore w:val="0"/>
        <w:widowControl w:val="0"/>
        <w:kinsoku/>
        <w:wordWrap/>
        <w:overflowPunct/>
        <w:topLinePunct w:val="0"/>
        <w:autoSpaceDE/>
        <w:autoSpaceDN/>
        <w:bidi w:val="0"/>
        <w:adjustRightInd w:val="0"/>
        <w:snapToGrid/>
        <w:spacing w:line="300" w:lineRule="exact"/>
        <w:ind w:left="900" w:leftChars="200" w:hanging="480" w:hangingChars="20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w:t>
      </w:r>
      <w:r>
        <w:rPr>
          <w:rFonts w:hint="default" w:asciiTheme="minorAscii" w:hAnsiTheme="minorAscii" w:eastAsiaTheme="minorEastAsia" w:cstheme="minorEastAsia"/>
          <w:spacing w:val="-6"/>
          <w:sz w:val="24"/>
          <w:szCs w:val="24"/>
        </w:rPr>
        <w:t>《信息安全技术 网络安全等级保护安全设计技术要求》（GB/T 25070-2019）；</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2）《信息安全技术 网络安全等级保护基本要求》（GB/T22239-2019）；</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3）《信息安全技术信息系统安全管理要求》（GB/T20269-2006）；</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4）《信息安全技术网络基础安全技术要求》（GB/T 20270-2006）；</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5）《信息安全技术操作系统安全技术要求》（GB/T 20272-2019）；</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6）《信息安全技术数据库管理系统安全技术要求》（GB/T 20273-2019）；</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7）《信息安全技术 服务器安全技术要求和测评准则》(GB/T 39680-2020)；</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8）《信息安全技术信息系统通用安全技术要求》（GB/T 20271-2006）；</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9）《信息安全技术信息系统安全工程管理要求》（GB/T 20282-2006）；</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10）《信息安全技术信息系统灾难恢复规范》(GB/T 20988-20</w:t>
      </w:r>
      <w:r>
        <w:rPr>
          <w:rFonts w:hint="default" w:asciiTheme="minorAscii" w:hAnsiTheme="minorAscii" w:eastAsiaTheme="minorEastAsia" w:cstheme="minorEastAsia"/>
          <w:sz w:val="24"/>
          <w:szCs w:val="24"/>
          <w:lang w:val="en-US" w:eastAsia="zh-CN"/>
        </w:rPr>
        <w:t>25</w:t>
      </w:r>
      <w:r>
        <w:rPr>
          <w:rFonts w:hint="default" w:asciiTheme="minorAscii" w:hAnsiTheme="minorAscii"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00" w:lineRule="exact"/>
        <w:ind w:left="900" w:leftChars="200" w:hanging="480" w:hanging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11）</w:t>
      </w:r>
      <w:r>
        <w:rPr>
          <w:rFonts w:hint="default" w:asciiTheme="minorAscii" w:hAnsiTheme="minorAscii" w:eastAsiaTheme="minorEastAsia" w:cstheme="minorEastAsia"/>
          <w:spacing w:val="-6"/>
          <w:sz w:val="24"/>
          <w:szCs w:val="24"/>
        </w:rPr>
        <w:t>《信息安全技术 电子政务移动办公系统安全技术规范》（GB/T 35282-2023）</w:t>
      </w:r>
      <w:r>
        <w:rPr>
          <w:rFonts w:hint="default" w:asciiTheme="minorAscii" w:hAnsiTheme="minorAscii" w:eastAsiaTheme="minorEastAsia" w:cstheme="minorEastAsia"/>
          <w:sz w:val="24"/>
          <w:szCs w:val="24"/>
        </w:rPr>
        <w:t>。</w:t>
      </w:r>
    </w:p>
    <w:p>
      <w:pPr>
        <w:pStyle w:val="4"/>
        <w:pageBreakBefore w:val="0"/>
        <w:widowControl w:val="0"/>
        <w:kinsoku/>
        <w:wordWrap/>
        <w:overflowPunct/>
        <w:topLinePunct w:val="0"/>
        <w:autoSpaceDE/>
        <w:autoSpaceDN/>
        <w:bidi w:val="0"/>
        <w:spacing w:before="166" w:after="166" w:line="300" w:lineRule="exact"/>
        <w:rPr>
          <w:rFonts w:hint="default" w:asciiTheme="minorAscii" w:hAnsiTheme="minorAscii" w:eastAsiaTheme="minorEastAsia" w:cstheme="minorEastAsia"/>
          <w:sz w:val="24"/>
          <w:szCs w:val="24"/>
        </w:rPr>
      </w:pPr>
      <w:bookmarkStart w:id="6" w:name="_Toc13791"/>
      <w:bookmarkStart w:id="7" w:name="_Toc321852938"/>
      <w:bookmarkStart w:id="8" w:name="_Toc17699"/>
      <w:r>
        <w:rPr>
          <w:rFonts w:hint="default" w:asciiTheme="minorAscii" w:hAnsiTheme="minorAscii" w:eastAsiaTheme="minorEastAsia" w:cstheme="minorEastAsia"/>
          <w:sz w:val="24"/>
          <w:szCs w:val="24"/>
        </w:rPr>
        <w:t>总体技术设计原则</w:t>
      </w:r>
      <w:bookmarkEnd w:id="6"/>
      <w:bookmarkEnd w:id="7"/>
      <w:bookmarkEnd w:id="8"/>
    </w:p>
    <w:p>
      <w:pPr>
        <w:pStyle w:val="5"/>
        <w:pageBreakBefore w:val="0"/>
        <w:widowControl w:val="0"/>
        <w:kinsoku/>
        <w:wordWrap/>
        <w:overflowPunct/>
        <w:topLinePunct w:val="0"/>
        <w:autoSpaceDE/>
        <w:autoSpaceDN/>
        <w:bidi w:val="0"/>
        <w:spacing w:line="300" w:lineRule="exact"/>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建设原则</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1）规范性原则</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遵循项目总体规划和技术标准化规范，严格执行相关法律法规政策规定和管理制度，依照国家、省、市级相关政策文件的工作要求，按照“准确、统一、及时、安全”的总要求，严格执行政务信息系统建设类项目的统一技术标准，遵循信息系统业务指标体系要求。</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2）统一性原则</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根据国家、省、市信息化建设规划，系统架构的设计将从统一标准规范的建设要求出发，把握各业务之间的区别和联系，按照不同业务的特点和信息技术的特点，遵循规范、科学、通用、实用、安全、易用等要求，统筹规划总体的应用架构，并通过管理与技术的双重手段，达到资源共享、应用软件重用、可管理、可维护等目的。</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3）先进性、创新性</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在技术上应采用业界先进、成熟的软件开发技术，面向对象的设计方法和面向对象的开发工具。采用B/S(浏览器/服务器）体系结构以支持网络环境下的分布式应用。</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优化政务流程，以数字化手段破解政务服务痛点，有效推动政务服务模式创新；结合人工智能技术，在智能识别程度、分析深度、预警准度、介入时机、智能辅助等维度上探索创新。</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4）安全性</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充分考虑信息安全对系统的重要性，全面按照信息安全等级保护要求建立可靠的安全保障体系，按照信创要求进行前端开发符合国家法律法规要求，采用国产密钥进行开发，保护敏感数据。系统建设采取全面的安全防护措施，系统开发层面，避免安全漏洞和隐患，做好用户隐私的保护和防泄漏，保障系统稳定、可靠、安全运行。系统安全控制层面，采用身份认证、权限管理、数据加密、入侵检测等安全机制。</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5）开放性</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保证系统设计的规范性，包括系统内部程序设计的规范、系统各模块之间接口的规范、系统内部与外部接口的规范和系统用户界面的规范，以便于同其他系统进行信息交互。充分利用现有建设成果，推动集约化建设，实现信息资源共享。加快信息资源的有效整合与共享交换，实现与相关部门的信息共享，最大限度发挥信息化建设的效益。</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6）可靠性原则</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运行稳定可靠。根据业务量分析和预测，需要考虑两个方面：一是考虑系统设备的处理能力，具有超负荷控制能力；二是考虑系统在平时和峰值情况下，安全可靠运行的设备和数据备份机制，确保不死机，数据无丢失，支持全年365d*24h无间断服务。</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7）兼容性与可扩展性原则</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充分考虑与已经建成业务系统的兼容性，实现业务范围、业务类型、不同系统多个方面功能的可扩充性。信息平台架构的设计应遵循服务导向和模块化原则，确保系统的灵活性和可扩展性。</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8）完整性与可操作性（可行性）</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系统建设要把握整体、通盘考虑；界面友好统一，操作使用简单、方便、快捷；业务流程清晰，符合业务处理逻辑；系统数据维护方便，要配备完整的电子帮助手册，便于指导操作员进行系统操作。</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9）容错性与易维护性</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在总体设计和文档管理上充分考虑系统的可维护性。便于在系统发生故障时能快速恢复。</w:t>
      </w:r>
    </w:p>
    <w:p>
      <w:pPr>
        <w:pStyle w:val="5"/>
        <w:pageBreakBefore w:val="0"/>
        <w:widowControl w:val="0"/>
        <w:kinsoku/>
        <w:wordWrap/>
        <w:overflowPunct/>
        <w:topLinePunct w:val="0"/>
        <w:autoSpaceDE/>
        <w:autoSpaceDN/>
        <w:bidi w:val="0"/>
        <w:spacing w:line="300" w:lineRule="exact"/>
        <w:ind w:left="0" w:leftChars="0" w:firstLine="0" w:firstLineChars="0"/>
        <w:rPr>
          <w:rFonts w:hint="default" w:asciiTheme="minorAscii" w:hAnsiTheme="minorAscii" w:eastAsiaTheme="minorEastAsia" w:cstheme="minorEastAsia"/>
          <w:sz w:val="24"/>
          <w:szCs w:val="24"/>
        </w:rPr>
      </w:pPr>
      <w:bookmarkStart w:id="9" w:name="_Toc15127"/>
      <w:r>
        <w:rPr>
          <w:rFonts w:hint="default" w:asciiTheme="minorAscii" w:hAnsiTheme="minorAscii" w:eastAsiaTheme="minorEastAsia" w:cstheme="minorEastAsia"/>
          <w:sz w:val="24"/>
          <w:szCs w:val="24"/>
        </w:rPr>
        <w:t>总体框</w:t>
      </w:r>
      <w:r>
        <w:rPr>
          <w:rFonts w:hint="default" w:asciiTheme="minorAscii" w:hAnsiTheme="minorAscii" w:eastAsiaTheme="minorEastAsia" w:cstheme="minorEastAsia"/>
          <w:sz w:val="24"/>
          <w:szCs w:val="24"/>
          <w:lang w:val="en-US" w:eastAsia="zh-CN"/>
        </w:rPr>
        <w:t>架</w:t>
      </w:r>
    </w:p>
    <w:p>
      <w:pPr>
        <w:pStyle w:val="7"/>
        <w:pageBreakBefore w:val="0"/>
        <w:widowControl w:val="0"/>
        <w:kinsoku/>
        <w:wordWrap/>
        <w:overflowPunct/>
        <w:topLinePunct w:val="0"/>
        <w:autoSpaceDE/>
        <w:autoSpaceDN/>
        <w:bidi w:val="0"/>
        <w:spacing w:line="300" w:lineRule="exact"/>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总体架构</w:t>
      </w:r>
    </w:p>
    <w:p>
      <w:pPr>
        <w:ind w:left="-420" w:leftChars="-200" w:firstLine="0" w:firstLineChars="0"/>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lang w:eastAsia="zh-CN"/>
        </w:rPr>
        <w:drawing>
          <wp:inline distT="0" distB="0" distL="114300" distR="114300">
            <wp:extent cx="6044565" cy="3449955"/>
            <wp:effectExtent l="0" t="0" r="5715" b="9525"/>
            <wp:docPr id="54" name="图片 54" descr="总体架构20225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总体架构202251212"/>
                    <pic:cNvPicPr>
                      <a:picLocks noChangeAspect="1"/>
                    </pic:cNvPicPr>
                  </pic:nvPicPr>
                  <pic:blipFill>
                    <a:blip r:embed="rId5"/>
                    <a:stretch>
                      <a:fillRect/>
                    </a:stretch>
                  </pic:blipFill>
                  <pic:spPr>
                    <a:xfrm>
                      <a:off x="0" y="0"/>
                      <a:ext cx="6044565" cy="3449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33" w:afterLines="100"/>
        <w:ind w:firstLine="0" w:firstLineChars="0"/>
        <w:jc w:val="center"/>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图</w:t>
      </w:r>
      <w:r>
        <w:rPr>
          <w:rFonts w:hint="default" w:asciiTheme="minorAscii" w:hAnsiTheme="minorAscii" w:eastAsiaTheme="minorEastAsia" w:cstheme="minorEastAsia"/>
          <w:b/>
          <w:bCs/>
          <w:sz w:val="24"/>
          <w:szCs w:val="24"/>
          <w:lang w:val="en-US" w:eastAsia="zh-CN"/>
        </w:rPr>
        <w:t>3</w:t>
      </w:r>
      <w:r>
        <w:rPr>
          <w:rFonts w:hint="default" w:asciiTheme="minorAscii" w:hAnsiTheme="minorAscii" w:eastAsiaTheme="minorEastAsia" w:cstheme="minorEastAsia"/>
          <w:b/>
          <w:bCs/>
          <w:sz w:val="24"/>
          <w:szCs w:val="24"/>
        </w:rPr>
        <w:t xml:space="preserve"> 项目总体架构图</w:t>
      </w:r>
    </w:p>
    <w:p>
      <w:pPr>
        <w:pStyle w:val="7"/>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软件平台架构</w:t>
      </w:r>
    </w:p>
    <w:p>
      <w:pPr>
        <w:ind w:left="-420" w:leftChars="-200" w:firstLine="0" w:firstLineChars="0"/>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lang w:eastAsia="zh-CN"/>
        </w:rPr>
        <w:drawing>
          <wp:inline distT="0" distB="0" distL="114300" distR="114300">
            <wp:extent cx="6054090" cy="3146425"/>
            <wp:effectExtent l="0" t="0" r="11430" b="8255"/>
            <wp:docPr id="53" name="图片 53" descr="软件系统架构图2025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软件系统架构图20251212"/>
                    <pic:cNvPicPr>
                      <a:picLocks noChangeAspect="1"/>
                    </pic:cNvPicPr>
                  </pic:nvPicPr>
                  <pic:blipFill>
                    <a:blip r:embed="rId6"/>
                    <a:stretch>
                      <a:fillRect/>
                    </a:stretch>
                  </pic:blipFill>
                  <pic:spPr>
                    <a:xfrm>
                      <a:off x="0" y="0"/>
                      <a:ext cx="6054090" cy="3146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167" w:beforeLines="50"/>
        <w:ind w:firstLine="0" w:firstLineChars="0"/>
        <w:jc w:val="center"/>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图</w:t>
      </w:r>
      <w:r>
        <w:rPr>
          <w:rFonts w:hint="default" w:asciiTheme="minorAscii" w:hAnsiTheme="minorAscii" w:eastAsiaTheme="minorEastAsia" w:cstheme="minorEastAsia"/>
          <w:b/>
          <w:bCs/>
          <w:sz w:val="24"/>
          <w:szCs w:val="24"/>
          <w:lang w:val="en-US" w:eastAsia="zh-CN"/>
        </w:rPr>
        <w:t>4</w:t>
      </w:r>
      <w:r>
        <w:rPr>
          <w:rFonts w:hint="default" w:asciiTheme="minorAscii" w:hAnsiTheme="minorAscii" w:eastAsiaTheme="minorEastAsia" w:cstheme="minorEastAsia"/>
          <w:b/>
          <w:bCs/>
          <w:sz w:val="24"/>
          <w:szCs w:val="24"/>
        </w:rPr>
        <w:t xml:space="preserve"> “三水一体协同管控体系”</w:t>
      </w:r>
      <w:r>
        <w:rPr>
          <w:rFonts w:hint="default" w:asciiTheme="minorAscii" w:hAnsiTheme="minorAscii" w:eastAsiaTheme="minorEastAsia" w:cstheme="minorEastAsia"/>
          <w:b/>
          <w:bCs/>
          <w:sz w:val="24"/>
          <w:szCs w:val="24"/>
          <w:lang w:eastAsia="zh-CN"/>
        </w:rPr>
        <w:t>风险源监测与环境应急平台</w:t>
      </w:r>
      <w:r>
        <w:rPr>
          <w:rFonts w:hint="default" w:asciiTheme="minorAscii" w:hAnsiTheme="minorAscii" w:eastAsiaTheme="minorEastAsia" w:cstheme="minorEastAsia"/>
          <w:b/>
          <w:bCs/>
          <w:sz w:val="24"/>
          <w:szCs w:val="24"/>
        </w:rPr>
        <w:t>（软件）系统架构图</w:t>
      </w:r>
    </w:p>
    <w:p>
      <w:pPr>
        <w:pStyle w:val="7"/>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网络架构</w:t>
      </w:r>
    </w:p>
    <w:p>
      <w:pPr>
        <w:ind w:left="-420" w:leftChars="0" w:firstLine="0" w:firstLineChars="0"/>
        <w:jc w:val="center"/>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lang w:eastAsia="zh-CN"/>
        </w:rPr>
        <w:drawing>
          <wp:inline distT="0" distB="0" distL="114300" distR="114300">
            <wp:extent cx="6049010" cy="3313430"/>
            <wp:effectExtent l="0" t="0" r="1270" b="8890"/>
            <wp:docPr id="127" name="图片 127" descr="网络拓扑图2026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网络拓扑图20260410"/>
                    <pic:cNvPicPr>
                      <a:picLocks noChangeAspect="1"/>
                    </pic:cNvPicPr>
                  </pic:nvPicPr>
                  <pic:blipFill>
                    <a:blip r:embed="rId7"/>
                    <a:stretch>
                      <a:fillRect/>
                    </a:stretch>
                  </pic:blipFill>
                  <pic:spPr>
                    <a:xfrm>
                      <a:off x="0" y="0"/>
                      <a:ext cx="6049010" cy="3313430"/>
                    </a:xfrm>
                    <a:prstGeom prst="rect">
                      <a:avLst/>
                    </a:prstGeom>
                  </pic:spPr>
                </pic:pic>
              </a:graphicData>
            </a:graphic>
          </wp:inline>
        </w:drawing>
      </w:r>
    </w:p>
    <w:p>
      <w:pPr>
        <w:ind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图</w:t>
      </w:r>
      <w:r>
        <w:rPr>
          <w:rFonts w:hint="default" w:asciiTheme="minorAscii" w:hAnsiTheme="minorAscii" w:eastAsiaTheme="minorEastAsia" w:cstheme="minorEastAsia"/>
          <w:b/>
          <w:bCs/>
          <w:sz w:val="24"/>
          <w:szCs w:val="24"/>
          <w:lang w:val="en-US" w:eastAsia="zh-CN"/>
        </w:rPr>
        <w:t>5</w:t>
      </w:r>
      <w:r>
        <w:rPr>
          <w:rFonts w:hint="default" w:asciiTheme="minorAscii" w:hAnsiTheme="minorAscii" w:eastAsiaTheme="minorEastAsia" w:cstheme="minorEastAsia"/>
          <w:b/>
          <w:bCs/>
          <w:sz w:val="24"/>
          <w:szCs w:val="24"/>
        </w:rPr>
        <w:t xml:space="preserve"> </w:t>
      </w:r>
      <w:r>
        <w:rPr>
          <w:rFonts w:hint="default" w:asciiTheme="minorAscii" w:hAnsiTheme="minorAscii" w:eastAsiaTheme="minorEastAsia" w:cstheme="minorEastAsia"/>
          <w:b/>
          <w:bCs/>
          <w:sz w:val="24"/>
          <w:szCs w:val="24"/>
          <w:lang w:val="en-US" w:eastAsia="zh-CN"/>
        </w:rPr>
        <w:t>广元白龙湖风景名胜区三水一体协同管控体系建设项目</w:t>
      </w:r>
      <w:r>
        <w:rPr>
          <w:rFonts w:hint="default" w:asciiTheme="minorAscii" w:hAnsiTheme="minorAscii" w:eastAsiaTheme="minorEastAsia" w:cstheme="minorEastAsia"/>
          <w:b/>
          <w:bCs/>
          <w:sz w:val="24"/>
          <w:szCs w:val="24"/>
        </w:rPr>
        <w:t>网络拓扑图</w:t>
      </w:r>
    </w:p>
    <w:p>
      <w:pPr>
        <w:pStyle w:val="7"/>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系统软硬件物理布置图</w:t>
      </w:r>
    </w:p>
    <w:p>
      <w:pPr>
        <w:ind w:left="0" w:leftChars="0" w:firstLine="0" w:firstLineChars="0"/>
        <w:jc w:val="center"/>
        <w:rPr>
          <w:rFonts w:hint="default" w:asciiTheme="minorAscii" w:hAnsiTheme="minorAscii" w:eastAsiaTheme="minorEastAsia" w:cstheme="minorEastAsia"/>
          <w:sz w:val="24"/>
          <w:szCs w:val="24"/>
          <w:highlight w:val="yellow"/>
          <w:lang w:eastAsia="zh-CN"/>
        </w:rPr>
      </w:pPr>
      <w:r>
        <w:rPr>
          <w:rFonts w:hint="default" w:asciiTheme="minorAscii" w:hAnsiTheme="minorAscii" w:eastAsiaTheme="minorEastAsia" w:cstheme="minorEastAsia"/>
          <w:sz w:val="24"/>
          <w:szCs w:val="24"/>
          <w:highlight w:val="yellow"/>
          <w:lang w:eastAsia="zh-CN"/>
        </w:rPr>
        <w:drawing>
          <wp:inline distT="0" distB="0" distL="114300" distR="114300">
            <wp:extent cx="4097020" cy="3930650"/>
            <wp:effectExtent l="0" t="0" r="2540" b="1270"/>
            <wp:docPr id="2" name="图片 2" descr="软硬件物理部署图2026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软硬件物理部署图20260328"/>
                    <pic:cNvPicPr>
                      <a:picLocks noChangeAspect="1"/>
                    </pic:cNvPicPr>
                  </pic:nvPicPr>
                  <pic:blipFill>
                    <a:blip r:embed="rId8"/>
                    <a:stretch>
                      <a:fillRect/>
                    </a:stretch>
                  </pic:blipFill>
                  <pic:spPr>
                    <a:xfrm>
                      <a:off x="0" y="0"/>
                      <a:ext cx="4097020" cy="3930650"/>
                    </a:xfrm>
                    <a:prstGeom prst="rect">
                      <a:avLst/>
                    </a:prstGeom>
                  </pic:spPr>
                </pic:pic>
              </a:graphicData>
            </a:graphic>
          </wp:inline>
        </w:drawing>
      </w:r>
    </w:p>
    <w:p>
      <w:pPr>
        <w:bidi w:val="0"/>
        <w:ind w:left="0" w:leftChars="0" w:firstLine="0" w:firstLineChars="0"/>
        <w:jc w:val="center"/>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图</w:t>
      </w:r>
      <w:r>
        <w:rPr>
          <w:rFonts w:hint="default" w:asciiTheme="minorAscii" w:hAnsiTheme="minorAscii" w:eastAsiaTheme="minorEastAsia" w:cstheme="minorEastAsia"/>
          <w:b/>
          <w:bCs/>
          <w:sz w:val="24"/>
          <w:szCs w:val="24"/>
          <w:lang w:val="en-US" w:eastAsia="zh-CN"/>
        </w:rPr>
        <w:t>6</w:t>
      </w:r>
      <w:r>
        <w:rPr>
          <w:rFonts w:hint="default" w:asciiTheme="minorAscii" w:hAnsiTheme="minorAscii" w:eastAsiaTheme="minorEastAsia" w:cstheme="minorEastAsia"/>
          <w:b/>
          <w:bCs/>
          <w:sz w:val="24"/>
          <w:szCs w:val="24"/>
        </w:rPr>
        <w:t xml:space="preserve"> </w:t>
      </w:r>
      <w:r>
        <w:rPr>
          <w:rFonts w:hint="default" w:asciiTheme="minorAscii" w:hAnsiTheme="minorAscii" w:eastAsiaTheme="minorEastAsia" w:cstheme="minorEastAsia"/>
          <w:b/>
          <w:bCs/>
          <w:sz w:val="24"/>
          <w:szCs w:val="24"/>
          <w:lang w:val="en-US" w:eastAsia="zh-CN"/>
        </w:rPr>
        <w:t>系统软硬件物理布置</w:t>
      </w:r>
      <w:r>
        <w:rPr>
          <w:rFonts w:hint="default" w:asciiTheme="minorAscii" w:hAnsiTheme="minorAscii" w:eastAsiaTheme="minorEastAsia" w:cstheme="minorEastAsia"/>
          <w:b/>
          <w:bCs/>
          <w:sz w:val="24"/>
          <w:szCs w:val="24"/>
        </w:rPr>
        <w:t>图</w:t>
      </w:r>
    </w:p>
    <w:p>
      <w:pPr>
        <w:pStyle w:val="7"/>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系统软硬件配置</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highlight w:val="none"/>
        </w:rPr>
        <w:t>系统软硬件配置，详见《</w:t>
      </w:r>
      <w:r>
        <w:rPr>
          <w:rFonts w:hint="default" w:asciiTheme="minorAscii" w:hAnsiTheme="minorAscii" w:eastAsiaTheme="minorEastAsia" w:cstheme="minorEastAsia"/>
          <w:sz w:val="24"/>
          <w:szCs w:val="24"/>
          <w:highlight w:val="none"/>
          <w:lang w:eastAsia="zh-CN"/>
        </w:rPr>
        <w:t>“</w:t>
      </w:r>
      <w:r>
        <w:rPr>
          <w:rFonts w:hint="default" w:asciiTheme="minorAscii" w:hAnsiTheme="minorAscii" w:eastAsiaTheme="minorEastAsia" w:cstheme="minorEastAsia"/>
          <w:sz w:val="24"/>
          <w:szCs w:val="24"/>
          <w:highlight w:val="none"/>
          <w:lang w:val="en-US" w:eastAsia="zh-CN"/>
        </w:rPr>
        <w:t>广元白龙湖风景名胜区三水一体协同管控体系建设</w:t>
      </w:r>
      <w:r>
        <w:rPr>
          <w:rFonts w:hint="default" w:asciiTheme="minorAscii" w:hAnsiTheme="minorAscii" w:eastAsiaTheme="minorEastAsia" w:cstheme="minorEastAsia"/>
          <w:sz w:val="24"/>
          <w:szCs w:val="24"/>
          <w:highlight w:val="none"/>
        </w:rPr>
        <w:t>项目</w:t>
      </w:r>
      <w:r>
        <w:rPr>
          <w:rFonts w:hint="default" w:asciiTheme="minorAscii" w:hAnsiTheme="minorAscii" w:eastAsiaTheme="minorEastAsia" w:cstheme="minorEastAsia"/>
          <w:sz w:val="24"/>
          <w:szCs w:val="24"/>
          <w:highlight w:val="none"/>
          <w:lang w:eastAsia="zh-CN"/>
        </w:rPr>
        <w:t>（</w:t>
      </w:r>
      <w:r>
        <w:rPr>
          <w:rFonts w:hint="default" w:asciiTheme="minorAscii" w:hAnsiTheme="minorAscii" w:eastAsiaTheme="minorEastAsia" w:cstheme="minorEastAsia"/>
          <w:sz w:val="24"/>
          <w:szCs w:val="24"/>
          <w:highlight w:val="none"/>
          <w:lang w:val="en-US" w:eastAsia="zh-CN"/>
        </w:rPr>
        <w:t>一期</w:t>
      </w:r>
      <w:r>
        <w:rPr>
          <w:rFonts w:hint="default" w:asciiTheme="minorAscii" w:hAnsiTheme="minorAscii" w:eastAsiaTheme="minorEastAsia" w:cstheme="minorEastAsia"/>
          <w:sz w:val="24"/>
          <w:szCs w:val="24"/>
          <w:highlight w:val="none"/>
          <w:lang w:eastAsia="zh-CN"/>
        </w:rPr>
        <w:t>）</w:t>
      </w:r>
      <w:r>
        <w:rPr>
          <w:rFonts w:hint="default" w:asciiTheme="minorAscii" w:hAnsiTheme="minorAscii" w:eastAsiaTheme="minorEastAsia" w:cstheme="minorEastAsia"/>
          <w:sz w:val="24"/>
          <w:szCs w:val="24"/>
          <w:highlight w:val="none"/>
          <w:lang w:val="en-US" w:eastAsia="zh-CN"/>
        </w:rPr>
        <w:t>”硬件设备购置（暨分部分项工程量）</w:t>
      </w:r>
      <w:r>
        <w:rPr>
          <w:rFonts w:hint="default" w:asciiTheme="minorAscii" w:hAnsiTheme="minorAscii" w:eastAsiaTheme="minorEastAsia" w:cstheme="minorEastAsia"/>
          <w:sz w:val="24"/>
          <w:szCs w:val="24"/>
          <w:highlight w:val="none"/>
        </w:rPr>
        <w:t>清单》</w:t>
      </w:r>
      <w:r>
        <w:rPr>
          <w:rFonts w:hint="default" w:asciiTheme="minorAscii" w:hAnsiTheme="minorAscii" w:eastAsiaTheme="minorEastAsia" w:cstheme="minorEastAsia"/>
          <w:sz w:val="24"/>
          <w:szCs w:val="24"/>
          <w:highlight w:val="none"/>
          <w:lang w:val="en-US" w:eastAsia="zh-CN"/>
        </w:rPr>
        <w:t>、《“广元白龙湖风景名胜区三水一体协同管控体系建设项目（一期）”云资源租赁、网络安全等保三级及商用密码应用安全建设清单》、《“广元白龙湖风景名胜区三水一体协同管控体系建设项目（一期）”风险源监测与环境应急平台（软件）功能点明细表》和《</w:t>
      </w:r>
      <w:r>
        <w:rPr>
          <w:rFonts w:hint="default" w:asciiTheme="minorAscii" w:hAnsiTheme="minorAscii" w:eastAsiaTheme="minorEastAsia" w:cstheme="minorEastAsia"/>
          <w:sz w:val="24"/>
          <w:szCs w:val="24"/>
          <w:highlight w:val="none"/>
          <w:lang w:eastAsia="zh-CN"/>
        </w:rPr>
        <w:t>“</w:t>
      </w:r>
      <w:r>
        <w:rPr>
          <w:rFonts w:hint="default" w:asciiTheme="minorAscii" w:hAnsiTheme="minorAscii" w:eastAsiaTheme="minorEastAsia" w:cstheme="minorEastAsia"/>
          <w:sz w:val="24"/>
          <w:szCs w:val="24"/>
          <w:highlight w:val="none"/>
          <w:lang w:val="en-US" w:eastAsia="zh-CN"/>
        </w:rPr>
        <w:t>广元白龙湖风景名胜区三水一体协同管控体系建设</w:t>
      </w:r>
      <w:r>
        <w:rPr>
          <w:rFonts w:hint="default" w:asciiTheme="minorAscii" w:hAnsiTheme="minorAscii" w:eastAsiaTheme="minorEastAsia" w:cstheme="minorEastAsia"/>
          <w:sz w:val="24"/>
          <w:szCs w:val="24"/>
          <w:highlight w:val="none"/>
        </w:rPr>
        <w:t>项目</w:t>
      </w:r>
      <w:r>
        <w:rPr>
          <w:rFonts w:hint="default" w:asciiTheme="minorAscii" w:hAnsiTheme="minorAscii" w:eastAsiaTheme="minorEastAsia" w:cstheme="minorEastAsia"/>
          <w:sz w:val="24"/>
          <w:szCs w:val="24"/>
          <w:highlight w:val="none"/>
          <w:lang w:eastAsia="zh-CN"/>
        </w:rPr>
        <w:t>（</w:t>
      </w:r>
      <w:r>
        <w:rPr>
          <w:rFonts w:hint="default" w:asciiTheme="minorAscii" w:hAnsiTheme="minorAscii" w:eastAsiaTheme="minorEastAsia" w:cstheme="minorEastAsia"/>
          <w:sz w:val="24"/>
          <w:szCs w:val="24"/>
          <w:highlight w:val="none"/>
          <w:lang w:val="en-US" w:eastAsia="zh-CN"/>
        </w:rPr>
        <w:t>二期</w:t>
      </w:r>
      <w:r>
        <w:rPr>
          <w:rFonts w:hint="default" w:asciiTheme="minorAscii" w:hAnsiTheme="minorAscii" w:eastAsiaTheme="minorEastAsia" w:cstheme="minorEastAsia"/>
          <w:sz w:val="24"/>
          <w:szCs w:val="24"/>
          <w:highlight w:val="none"/>
          <w:lang w:eastAsia="zh-CN"/>
        </w:rPr>
        <w:t>）</w:t>
      </w:r>
      <w:r>
        <w:rPr>
          <w:rFonts w:hint="default" w:asciiTheme="minorAscii" w:hAnsiTheme="minorAscii" w:eastAsiaTheme="minorEastAsia" w:cstheme="minorEastAsia"/>
          <w:sz w:val="24"/>
          <w:szCs w:val="24"/>
          <w:highlight w:val="none"/>
          <w:lang w:val="en-US" w:eastAsia="zh-CN"/>
        </w:rPr>
        <w:t>”硬件设备购置（暨分部分项工程量）</w:t>
      </w:r>
      <w:r>
        <w:rPr>
          <w:rFonts w:hint="default" w:asciiTheme="minorAscii" w:hAnsiTheme="minorAscii" w:eastAsiaTheme="minorEastAsia" w:cstheme="minorEastAsia"/>
          <w:sz w:val="24"/>
          <w:szCs w:val="24"/>
          <w:highlight w:val="none"/>
        </w:rPr>
        <w:t>清单</w:t>
      </w:r>
      <w:r>
        <w:rPr>
          <w:rFonts w:hint="default" w:asciiTheme="minorAscii" w:hAnsiTheme="minorAscii" w:eastAsiaTheme="minorEastAsia" w:cstheme="minorEastAsia"/>
          <w:sz w:val="24"/>
          <w:szCs w:val="24"/>
          <w:highlight w:val="none"/>
          <w:lang w:val="en-US" w:eastAsia="zh-CN"/>
        </w:rPr>
        <w:t>》</w:t>
      </w:r>
      <w:r>
        <w:rPr>
          <w:rFonts w:hint="default" w:asciiTheme="minorAscii" w:hAnsiTheme="minorAscii" w:eastAsiaTheme="minorEastAsia" w:cstheme="minorEastAsia"/>
          <w:sz w:val="24"/>
          <w:szCs w:val="24"/>
        </w:rPr>
        <w:t>。</w:t>
      </w:r>
    </w:p>
    <w:p>
      <w:pPr>
        <w:pStyle w:val="5"/>
        <w:pageBreakBefore w:val="0"/>
        <w:widowControl w:val="0"/>
        <w:kinsoku/>
        <w:wordWrap/>
        <w:overflowPunct/>
        <w:topLinePunct w:val="0"/>
        <w:autoSpaceDE/>
        <w:autoSpaceDN/>
        <w:bidi w:val="0"/>
        <w:spacing w:line="300" w:lineRule="exact"/>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技术路线</w:t>
      </w:r>
      <w:bookmarkEnd w:id="9"/>
    </w:p>
    <w:p>
      <w:pPr>
        <w:pStyle w:val="7"/>
        <w:pageBreakBefore w:val="0"/>
        <w:widowControl w:val="0"/>
        <w:kinsoku/>
        <w:wordWrap/>
        <w:overflowPunct/>
        <w:topLinePunct w:val="0"/>
        <w:autoSpaceDE/>
        <w:autoSpaceDN/>
        <w:bidi w:val="0"/>
        <w:spacing w:line="300" w:lineRule="exact"/>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主要技术路线</w:t>
      </w:r>
    </w:p>
    <w:p>
      <w:pPr>
        <w:pageBreakBefore w:val="0"/>
        <w:widowControl w:val="0"/>
        <w:tabs>
          <w:tab w:val="left" w:pos="0"/>
        </w:tabs>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color w:val="000000"/>
          <w:sz w:val="24"/>
          <w:szCs w:val="24"/>
        </w:rPr>
      </w:pPr>
      <w:r>
        <w:rPr>
          <w:rFonts w:hint="default" w:asciiTheme="minorAscii" w:hAnsiTheme="minorAscii" w:eastAsiaTheme="minorEastAsia" w:cstheme="minorEastAsia"/>
          <w:color w:val="000000"/>
          <w:sz w:val="24"/>
          <w:szCs w:val="24"/>
        </w:rPr>
        <w:t>本项目的技术路线主要围绕电子政务网络平台、业务信息系统、数据资源体系等核心模块展开，兼顾技术架构的统一性与业务场景的多样性，具体包含六个层级、三大体系技术架构：</w:t>
      </w:r>
    </w:p>
    <w:p>
      <w:pPr>
        <w:pageBreakBefore w:val="0"/>
        <w:widowControl w:val="0"/>
        <w:tabs>
          <w:tab w:val="left" w:pos="0"/>
        </w:tabs>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color w:val="000000"/>
          <w:sz w:val="24"/>
          <w:szCs w:val="24"/>
        </w:rPr>
      </w:pPr>
      <w:r>
        <w:rPr>
          <w:rFonts w:hint="default" w:asciiTheme="minorAscii" w:hAnsiTheme="minorAscii" w:eastAsiaTheme="minorEastAsia" w:cstheme="minorEastAsia"/>
          <w:b/>
          <w:bCs/>
          <w:color w:val="000000"/>
          <w:sz w:val="24"/>
          <w:szCs w:val="24"/>
        </w:rPr>
        <w:t>1）</w:t>
      </w:r>
      <w:r>
        <w:rPr>
          <w:rFonts w:hint="default" w:asciiTheme="minorAscii" w:hAnsiTheme="minorAscii" w:eastAsiaTheme="minorEastAsia" w:cstheme="minorEastAsia"/>
          <w:b/>
          <w:bCs/>
          <w:sz w:val="24"/>
          <w:szCs w:val="24"/>
        </w:rPr>
        <w:t>数据采集层</w:t>
      </w:r>
      <w:r>
        <w:rPr>
          <w:rFonts w:hint="default" w:asciiTheme="minorAscii" w:hAnsiTheme="minorAscii" w:eastAsiaTheme="minorEastAsia" w:cstheme="minorEastAsia"/>
          <w:b/>
          <w:bCs/>
          <w:color w:val="000000"/>
          <w:sz w:val="24"/>
          <w:szCs w:val="24"/>
        </w:rPr>
        <w:t>：</w:t>
      </w:r>
      <w:r>
        <w:rPr>
          <w:rFonts w:hint="default" w:asciiTheme="minorAscii" w:hAnsiTheme="minorAscii" w:eastAsiaTheme="minorEastAsia" w:cstheme="minorEastAsia"/>
          <w:color w:val="000000"/>
          <w:sz w:val="24"/>
          <w:szCs w:val="24"/>
        </w:rPr>
        <w:t>依托边缘计算和轻量级人工智能算法部署，实现本地化图像识别、检测分析等。</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2）基础设施层：</w:t>
      </w:r>
      <w:r>
        <w:rPr>
          <w:rFonts w:hint="default" w:asciiTheme="minorAscii" w:hAnsiTheme="minorAscii" w:eastAsiaTheme="minorEastAsia" w:cstheme="minorEastAsia"/>
          <w:sz w:val="24"/>
          <w:szCs w:val="24"/>
        </w:rPr>
        <w:t>依托政务云平台搭建统一计算与存储环境，采用混合云部署模式（私有云+公有云）保障数据安全与系统弹性。</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3）数据资源层：</w:t>
      </w:r>
      <w:r>
        <w:rPr>
          <w:rFonts w:hint="default" w:asciiTheme="minorAscii" w:hAnsiTheme="minorAscii" w:eastAsiaTheme="minorEastAsia" w:cstheme="minorEastAsia"/>
          <w:sz w:val="24"/>
          <w:szCs w:val="24"/>
        </w:rPr>
        <w:t>构建统一数据中台，通过实时流处理与离线分析实现数据融合与智能决策支持。</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4）应用支撑层：</w:t>
      </w:r>
      <w:r>
        <w:rPr>
          <w:rFonts w:hint="default" w:asciiTheme="minorAscii" w:hAnsiTheme="minorAscii" w:eastAsiaTheme="minorEastAsia" w:cstheme="minorEastAsia"/>
          <w:sz w:val="24"/>
          <w:szCs w:val="24"/>
        </w:rPr>
        <w:t>提供技术支撑，如云计算服务、大数据分析等。</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5）应用层：</w:t>
      </w:r>
      <w:r>
        <w:rPr>
          <w:rFonts w:hint="default" w:asciiTheme="minorAscii" w:hAnsiTheme="minorAscii" w:eastAsiaTheme="minorEastAsia" w:cstheme="minorEastAsia"/>
          <w:sz w:val="24"/>
          <w:szCs w:val="24"/>
        </w:rPr>
        <w:t>具体业务应用，通过算法优化等技术手段提升办事体验。</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6）用户层：</w:t>
      </w:r>
      <w:r>
        <w:rPr>
          <w:rFonts w:hint="default" w:asciiTheme="minorAscii" w:hAnsiTheme="minorAscii" w:eastAsiaTheme="minorEastAsia" w:cstheme="minorEastAsia"/>
          <w:sz w:val="24"/>
          <w:szCs w:val="24"/>
        </w:rPr>
        <w:t>提供多元、跨介质用户交互界面。</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7）标准规范体系：</w:t>
      </w:r>
      <w:r>
        <w:rPr>
          <w:rFonts w:hint="default" w:asciiTheme="minorAscii" w:hAnsiTheme="minorAscii" w:eastAsiaTheme="minorEastAsia" w:cstheme="minorEastAsia"/>
          <w:sz w:val="24"/>
          <w:szCs w:val="24"/>
        </w:rPr>
        <w:t>全面落实政务信息化项目建设相关的标准规范，提升项目建设标准化、规范化、科学化和集约化水平。</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8）安全保障体系：</w:t>
      </w:r>
      <w:r>
        <w:rPr>
          <w:rFonts w:hint="default" w:asciiTheme="minorAscii" w:hAnsiTheme="minorAscii" w:eastAsiaTheme="minorEastAsia" w:cstheme="minorEastAsia"/>
          <w:sz w:val="24"/>
          <w:szCs w:val="24"/>
        </w:rPr>
        <w:t>采用“三重防护”构建坚实的技术防线，包括安全通信网络、安全区域边界和安全计算环境。</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“安全通信网络”防线</w:t>
      </w:r>
      <w:r>
        <w:rPr>
          <w:rFonts w:hint="default" w:asciiTheme="minorAscii" w:hAnsiTheme="minorAscii" w:eastAsiaTheme="minorEastAsia" w:cstheme="minorEastAsia"/>
          <w:sz w:val="24"/>
          <w:szCs w:val="24"/>
        </w:rPr>
        <w:t>构建，包括：①网络架构安全：采用分层、分区的设计（如业务区、数据区、管理区），在不同区域之间部署防火墙、网闸进行逻辑隔离。②传输安全：对敏感数据在网络中传输时采用SSL/TLS、IPSec等加密技术。③入侵检测与防御：部署IDS/IPS，监控网络中的异常流量和攻击行为。④安全接入：对于远程访问，采用VPN并强化身份认证。</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“安全区域边界”防线</w:t>
      </w:r>
      <w:r>
        <w:rPr>
          <w:rFonts w:hint="default" w:asciiTheme="minorAscii" w:hAnsiTheme="minorAscii" w:eastAsiaTheme="minorEastAsia" w:cstheme="minorEastAsia"/>
          <w:sz w:val="24"/>
          <w:szCs w:val="24"/>
        </w:rPr>
        <w:t>构建，包括：①边界防护：在互联网出口、上下级单位连接处部署下一代防火墙，实施严格的访问控制策略。②Web应用防护：部署WAF，防范SQL注入、跨站脚本等Web应用攻击。③恶意代码防范：在网络边界和内部关键节点部署防病毒网关、沙箱等。④边界审计：部署网络行为审计系统，记录和分析边界访问日志。</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“安全计算环境”防线</w:t>
      </w:r>
      <w:r>
        <w:rPr>
          <w:rFonts w:hint="default" w:asciiTheme="minorAscii" w:hAnsiTheme="minorAscii" w:eastAsiaTheme="minorEastAsia" w:cstheme="minorEastAsia"/>
          <w:sz w:val="24"/>
          <w:szCs w:val="24"/>
        </w:rPr>
        <w:t>构建，包括：①身份鉴别与访问控制：建立统一身份管理平台，推行多因素认证；实施基于角色和最小权限的访问控制策略。②主机安全：服务器和终端安装防病毒软件，进行系统加固，定期打补丁。③应用安全：a.安全开发生命周期：在软件开发阶段就融入安全考量，进行代码安全审计、渗透测试。b.API安全：对提供的API接口进行认证、授权和流量管控。④数据安全（核心）：a.数据分类分级：对政务数据进行分类（如公开、内部、敏感、核心），并采取不同级别的保护措施。b.数据加密存储：对敏感数据和个人信息进行加密存储。c.数据脱敏：在测试、开发等非生产环境使用脱敏后的数据。d.数据备份与恢复：建立可靠的数据备份机制，确保灾难发生时能快速恢复。</w:t>
      </w:r>
    </w:p>
    <w:p>
      <w:pPr>
        <w:keepNext w:val="0"/>
        <w:keepLines w:val="0"/>
        <w:pageBreakBefore w:val="0"/>
        <w:widowControl w:val="0"/>
        <w:kinsoku/>
        <w:wordWrap/>
        <w:overflowPunct/>
        <w:topLinePunct w:val="0"/>
        <w:autoSpaceDE/>
        <w:autoSpaceDN/>
        <w:bidi w:val="0"/>
        <w:adjustRightInd w:val="0"/>
        <w:snapToGrid/>
        <w:spacing w:line="300" w:lineRule="exact"/>
        <w:ind w:firstLine="482"/>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9）运维管理体系：</w:t>
      </w:r>
      <w:r>
        <w:rPr>
          <w:rFonts w:hint="default" w:asciiTheme="minorAscii" w:hAnsiTheme="minorAscii" w:eastAsiaTheme="minorEastAsia" w:cstheme="minorEastAsia"/>
          <w:sz w:val="24"/>
          <w:szCs w:val="24"/>
        </w:rPr>
        <w:t>建立一体化监控平台，对网络流量、服务器性能、设备状态、应用状态、数据库性能、业务处理逻辑等进行7*24h监控。设置预警阀值，实现主动预警，在用户感知故障前发现问题。建设统一的运维驾驶舱，可视化展示系统健康度。制订详细的巡检手册，定期对系统、数据库、中间件、网络设备、应用设备等进行健康检查并记录。规范日常操作，如日志清理、数据备份等。制定严格的备份策略（全量、增量、差异），并定期进行恢复演练，确保备份数据的有效性。与安全保障体系紧密衔接，包括：漏洞扫描与修复、安全日志审计、病毒防护、安全策略配置等。严格遵守网络安全等级保护制度的要求。对业务数据进行全生命周期管理，根据系统重要性，制定相应的容灾策略（从数据备份到应用级双活），确保业务连续性。</w:t>
      </w:r>
    </w:p>
    <w:p>
      <w:pPr>
        <w:pStyle w:val="7"/>
        <w:keepNext w:val="0"/>
        <w:keepLines w:val="0"/>
        <w:pageBreakBefore w:val="0"/>
        <w:widowControl w:val="0"/>
        <w:kinsoku/>
        <w:wordWrap/>
        <w:overflowPunct/>
        <w:topLinePunct w:val="0"/>
        <w:autoSpaceDE/>
        <w:autoSpaceDN/>
        <w:bidi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关键技术选型</w:t>
      </w:r>
    </w:p>
    <w:p>
      <w:pPr>
        <w:keepNext w:val="0"/>
        <w:keepLines w:val="0"/>
        <w:pageBreakBefore w:val="0"/>
        <w:widowControl w:val="0"/>
        <w:kinsoku/>
        <w:wordWrap/>
        <w:overflowPunct/>
        <w:topLinePunct w:val="0"/>
        <w:autoSpaceDE/>
        <w:autoSpaceDN/>
        <w:bidi w:val="0"/>
        <w:adjustRightInd w:val="0"/>
        <w:snapToGrid/>
        <w:spacing w:line="300" w:lineRule="exact"/>
        <w:ind w:firstLine="482"/>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1）微服务技术架构</w:t>
      </w:r>
    </w:p>
    <w:p>
      <w:pPr>
        <w:keepNext w:val="0"/>
        <w:keepLines w:val="0"/>
        <w:pageBreakBefore w:val="0"/>
        <w:widowControl w:val="0"/>
        <w:kinsoku/>
        <w:wordWrap/>
        <w:overflowPunct/>
        <w:topLinePunct w:val="0"/>
        <w:autoSpaceDE/>
        <w:autoSpaceDN/>
        <w:bidi w:val="0"/>
        <w:adjustRightInd w:val="0"/>
        <w:snapToGrid/>
        <w:spacing w:line="300" w:lineRule="exact"/>
        <w:ind w:firstLine="48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微服务（Microservice Architecture）是一种架构概念，旨在通过将功能分解到各个离散的服务中，从而降低系统的耦合性，并提供更加灵活的服务支持。微服务架构是围绕业务领域服务组件来创建应用，这些应用可以独立地进行开发、管理和迭代，同时在分散的组件中使用云架构和分布式部署、管理和服务功能。</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项目将采用微服务架构进行信息系统设计，通过将各类管理服务应用分解成更小的、松散耦合的组件，它们可以更加容易升级和扩展。微服务可以在“自己的程序”中运行，并通过“轻量级设备与HTTP型API进行沟通”。关键在于该服务可以在自己的程序中运行。在微服务架构中，只需要在特定的某种服务中增加所需功能，而不影响整体进程。</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2）物联网技术</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针对感知设备的拓扑特征，采用物联网技术实现各类感知设备如固定式水质监测设备分析设备、浮标式监测设备、流量计监测设备等的管理。通过信息汇聚、网络传输与远程监控中心进行双向通信，上传感知信息，接受监控指令，实现典型的物联网应用。</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3）图像智能分析技术</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计</w:t>
      </w:r>
      <w:r>
        <w:rPr>
          <w:rFonts w:hint="default" w:asciiTheme="minorAscii" w:hAnsiTheme="minorAscii" w:eastAsiaTheme="minorEastAsia" w:cstheme="minorEastAsia"/>
          <w:spacing w:val="-6"/>
          <w:sz w:val="24"/>
          <w:szCs w:val="24"/>
        </w:rPr>
        <w:t>算机视觉，是人工智能研究的分支之一，它在图像及图像描述之间建立映射关系，从而通过数字图像处理和分析来理解视频画面中的内容。它使计算机得以从纷繁的视频图像中分辨、识别出关键目标。其可借助计算机强大的数据处理能力过滤掉图像中无用的或干扰信息，并自动分析、抽取视频源中关键的有用信息，使监控系统不但有眼睛（摄像机），由于智能视频分析计算机或专用DSP处理器，使监控系统具有智慧的大脑功能，使监控变得“聪明”，能自动学习和思考。</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本项目中所涉及的图像识别算法包括：车流分析、人流分析、非法垂钓分析、水污染分析等。</w:t>
      </w:r>
    </w:p>
    <w:p>
      <w:pPr>
        <w:pageBreakBefore w:val="0"/>
        <w:widowControl w:val="0"/>
        <w:kinsoku/>
        <w:wordWrap/>
        <w:overflowPunct/>
        <w:topLinePunct w:val="0"/>
        <w:autoSpaceDE/>
        <w:autoSpaceDN/>
        <w:bidi w:val="0"/>
        <w:adjustRightInd w:val="0"/>
        <w:snapToGrid/>
        <w:spacing w:line="300" w:lineRule="exact"/>
        <w:ind w:firstLine="482"/>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4）无人机技术</w:t>
      </w:r>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采用人工智能技术，建设无人机机舱，进行自动、远程作业巡航，面临常规巡查依旧由相关部门人员到达现场巡查，其地域广阔，巡查效率低。另外面对突发状况，也需要通过无人机进行现场勘察，实时回传第一现场的画面，可以对目标进行多角度数据采集，将实时画面回传到展示中心进行视频画面的分析。</w:t>
      </w:r>
    </w:p>
    <w:p>
      <w:pPr>
        <w:pStyle w:val="2"/>
        <w:keepNext/>
        <w:keepLines/>
        <w:pageBreakBefore w:val="0"/>
        <w:widowControl w:val="0"/>
        <w:kinsoku/>
        <w:wordWrap/>
        <w:overflowPunct/>
        <w:topLinePunct w:val="0"/>
        <w:autoSpaceDE/>
        <w:autoSpaceDN/>
        <w:bidi w:val="0"/>
        <w:adjustRightInd/>
        <w:snapToGrid w:val="0"/>
        <w:spacing w:before="333" w:beforeLines="100" w:after="166" w:line="300" w:lineRule="exact"/>
        <w:textAlignment w:val="auto"/>
        <w:rPr>
          <w:rFonts w:hint="default" w:asciiTheme="minorAscii" w:hAnsiTheme="minorAscii" w:eastAsiaTheme="minorEastAsia" w:cstheme="minorEastAsia"/>
          <w:sz w:val="24"/>
          <w:szCs w:val="24"/>
        </w:rPr>
      </w:pPr>
      <w:bookmarkStart w:id="10" w:name="_Toc909943764"/>
      <w:bookmarkStart w:id="11" w:name="_Toc19899"/>
      <w:bookmarkStart w:id="12" w:name="_Toc7354"/>
      <w:r>
        <w:rPr>
          <w:rFonts w:hint="default" w:asciiTheme="minorAscii" w:hAnsiTheme="minorAscii" w:eastAsiaTheme="minorEastAsia" w:cstheme="minorEastAsia"/>
          <w:sz w:val="24"/>
          <w:szCs w:val="24"/>
        </w:rPr>
        <w:t>建设内容</w:t>
      </w:r>
      <w:bookmarkEnd w:id="10"/>
      <w:bookmarkEnd w:id="11"/>
      <w:bookmarkEnd w:id="12"/>
    </w:p>
    <w:p>
      <w:pPr>
        <w:pageBreakBefore w:val="0"/>
        <w:widowControl w:val="0"/>
        <w:kinsoku/>
        <w:wordWrap/>
        <w:overflowPunct/>
        <w:topLinePunct w:val="0"/>
        <w:autoSpaceDE/>
        <w:autoSpaceDN/>
        <w:bidi w:val="0"/>
        <w:adjustRightInd w:val="0"/>
        <w:snapToGrid/>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w:t>
      </w:r>
      <w:r>
        <w:rPr>
          <w:rFonts w:hint="default" w:asciiTheme="minorAscii" w:hAnsiTheme="minorAscii" w:eastAsiaTheme="minorEastAsia" w:cstheme="minorEastAsia"/>
          <w:spacing w:val="-6"/>
          <w:sz w:val="24"/>
          <w:szCs w:val="24"/>
        </w:rPr>
        <w:t>项目总体建设任务是构建广元市白龙湖风景名胜区三水一体协同管控体系，</w:t>
      </w:r>
      <w:r>
        <w:rPr>
          <w:rFonts w:hint="default" w:asciiTheme="minorAscii" w:hAnsiTheme="minorAscii" w:eastAsiaTheme="minorEastAsia" w:cstheme="minorEastAsia"/>
          <w:spacing w:val="0"/>
          <w:sz w:val="24"/>
          <w:szCs w:val="24"/>
        </w:rPr>
        <w:t>包括基础能力建设、应急指挥中心建设、</w:t>
      </w:r>
      <w:r>
        <w:rPr>
          <w:rFonts w:hint="default" w:asciiTheme="minorAscii" w:hAnsiTheme="minorAscii" w:eastAsiaTheme="minorEastAsia" w:cstheme="minorEastAsia"/>
          <w:spacing w:val="0"/>
          <w:sz w:val="24"/>
          <w:szCs w:val="24"/>
          <w:lang w:eastAsia="zh-CN"/>
        </w:rPr>
        <w:t>风险源监测与环境应急平台</w:t>
      </w:r>
      <w:r>
        <w:rPr>
          <w:rFonts w:hint="default" w:asciiTheme="minorAscii" w:hAnsiTheme="minorAscii" w:eastAsiaTheme="minorEastAsia" w:cstheme="minorEastAsia"/>
          <w:spacing w:val="0"/>
          <w:sz w:val="24"/>
          <w:szCs w:val="24"/>
        </w:rPr>
        <w:t>、网络系统、</w:t>
      </w:r>
      <w:r>
        <w:rPr>
          <w:rFonts w:hint="default" w:asciiTheme="minorAscii" w:hAnsiTheme="minorAscii" w:eastAsiaTheme="minorEastAsia" w:cstheme="minorEastAsia"/>
          <w:spacing w:val="-6"/>
          <w:sz w:val="24"/>
          <w:szCs w:val="24"/>
        </w:rPr>
        <w:t>安全</w:t>
      </w:r>
      <w:r>
        <w:rPr>
          <w:rFonts w:hint="default" w:asciiTheme="minorAscii" w:hAnsiTheme="minorAscii" w:eastAsiaTheme="minorEastAsia" w:cstheme="minorEastAsia"/>
          <w:spacing w:val="-6"/>
          <w:sz w:val="24"/>
          <w:szCs w:val="24"/>
          <w:lang w:val="en-US" w:eastAsia="zh-CN"/>
        </w:rPr>
        <w:t>和运维</w:t>
      </w:r>
      <w:r>
        <w:rPr>
          <w:rFonts w:hint="default" w:asciiTheme="minorAscii" w:hAnsiTheme="minorAscii" w:eastAsiaTheme="minorEastAsia" w:cstheme="minorEastAsia"/>
          <w:spacing w:val="-6"/>
          <w:sz w:val="24"/>
          <w:szCs w:val="24"/>
        </w:rPr>
        <w:t>系统建设，实现水、陆、空一体化监控模式</w:t>
      </w:r>
      <w:r>
        <w:rPr>
          <w:rFonts w:hint="default" w:asciiTheme="minorAscii" w:hAnsiTheme="minorAscii" w:eastAsiaTheme="minorEastAsia" w:cstheme="minorEastAsia"/>
          <w:spacing w:val="-6"/>
          <w:sz w:val="24"/>
          <w:szCs w:val="24"/>
          <w:lang w:eastAsia="zh-CN"/>
        </w:rPr>
        <w:t>。</w:t>
      </w:r>
      <w:r>
        <w:rPr>
          <w:rFonts w:hint="default" w:asciiTheme="minorAscii" w:hAnsiTheme="minorAscii" w:eastAsiaTheme="minorEastAsia" w:cstheme="minorEastAsia"/>
          <w:b/>
          <w:bCs/>
          <w:spacing w:val="0"/>
          <w:sz w:val="24"/>
          <w:szCs w:val="24"/>
          <w:u w:val="wave"/>
        </w:rPr>
        <w:t>本项目分</w:t>
      </w:r>
      <w:r>
        <w:rPr>
          <w:rFonts w:hint="default" w:asciiTheme="minorAscii" w:hAnsiTheme="minorAscii" w:eastAsiaTheme="minorEastAsia" w:cstheme="minorEastAsia"/>
          <w:b/>
          <w:bCs/>
          <w:spacing w:val="0"/>
          <w:sz w:val="24"/>
          <w:szCs w:val="24"/>
          <w:u w:val="wave"/>
          <w:lang w:val="en-US" w:eastAsia="zh-CN"/>
        </w:rPr>
        <w:t>两</w:t>
      </w:r>
      <w:r>
        <w:rPr>
          <w:rFonts w:hint="default" w:asciiTheme="minorAscii" w:hAnsiTheme="minorAscii" w:eastAsiaTheme="minorEastAsia" w:cstheme="minorEastAsia"/>
          <w:b/>
          <w:bCs/>
          <w:spacing w:val="0"/>
          <w:sz w:val="24"/>
          <w:szCs w:val="24"/>
          <w:u w:val="wave"/>
        </w:rPr>
        <w:t>期建设</w:t>
      </w:r>
      <w:r>
        <w:rPr>
          <w:rFonts w:hint="default" w:asciiTheme="minorAscii" w:hAnsiTheme="minorAscii" w:eastAsiaTheme="minorEastAsia" w:cstheme="minorEastAsia"/>
          <w:spacing w:val="-6"/>
          <w:sz w:val="24"/>
          <w:szCs w:val="24"/>
          <w:u w:val="none"/>
        </w:rPr>
        <w:t>。</w:t>
      </w:r>
    </w:p>
    <w:p>
      <w:pPr>
        <w:pStyle w:val="2"/>
        <w:keepNext/>
        <w:keepLines/>
        <w:pageBreakBefore w:val="0"/>
        <w:widowControl w:val="0"/>
        <w:kinsoku/>
        <w:wordWrap/>
        <w:overflowPunct/>
        <w:topLinePunct w:val="0"/>
        <w:autoSpaceDE/>
        <w:autoSpaceDN/>
        <w:bidi w:val="0"/>
        <w:adjustRightInd/>
        <w:snapToGrid w:val="0"/>
        <w:spacing w:before="333" w:beforeLines="100" w:after="166" w:line="300" w:lineRule="exact"/>
        <w:textAlignment w:val="auto"/>
        <w:rPr>
          <w:rFonts w:hint="default" w:asciiTheme="minorAscii" w:hAnsiTheme="minorAscii" w:eastAsiaTheme="minorEastAsia" w:cstheme="minorEastAsia"/>
          <w:sz w:val="24"/>
          <w:szCs w:val="24"/>
        </w:rPr>
      </w:pPr>
      <w:bookmarkStart w:id="13" w:name="_Toc15632"/>
      <w:bookmarkStart w:id="14" w:name="_Toc1077898028"/>
      <w:bookmarkStart w:id="15" w:name="_Toc30650"/>
      <w:r>
        <w:rPr>
          <w:rFonts w:hint="default" w:asciiTheme="minorAscii" w:hAnsiTheme="minorAscii" w:eastAsiaTheme="minorEastAsia" w:cstheme="minorEastAsia"/>
          <w:sz w:val="24"/>
          <w:szCs w:val="24"/>
        </w:rPr>
        <w:t>分项建设内容</w:t>
      </w:r>
      <w:bookmarkEnd w:id="13"/>
      <w:bookmarkEnd w:id="14"/>
      <w:bookmarkEnd w:id="15"/>
    </w:p>
    <w:p>
      <w:pPr>
        <w:pStyle w:val="4"/>
        <w:pageBreakBefore w:val="0"/>
        <w:widowControl w:val="0"/>
        <w:kinsoku/>
        <w:wordWrap/>
        <w:overflowPunct/>
        <w:topLinePunct w:val="0"/>
        <w:autoSpaceDE/>
        <w:autoSpaceDN/>
        <w:bidi w:val="0"/>
        <w:spacing w:before="166" w:after="166" w:line="300" w:lineRule="exact"/>
        <w:rPr>
          <w:rFonts w:hint="default" w:asciiTheme="minorAscii" w:hAnsiTheme="minorAscii" w:eastAsiaTheme="minorEastAsia" w:cstheme="minorEastAsia"/>
          <w:sz w:val="24"/>
          <w:szCs w:val="24"/>
        </w:rPr>
      </w:pPr>
      <w:bookmarkStart w:id="16" w:name="_Toc31415"/>
      <w:r>
        <w:rPr>
          <w:rFonts w:hint="default" w:asciiTheme="minorAscii" w:hAnsiTheme="minorAscii" w:eastAsiaTheme="minorEastAsia" w:cstheme="minorEastAsia"/>
          <w:sz w:val="24"/>
          <w:szCs w:val="24"/>
        </w:rPr>
        <w:t>白龙湖“三水一体协同管控体系”基础能力建设</w:t>
      </w:r>
      <w:bookmarkEnd w:id="16"/>
      <w:r>
        <w:rPr>
          <w:rFonts w:hint="default" w:asciiTheme="minorAscii" w:hAnsiTheme="minorAscii" w:eastAsiaTheme="minorEastAsia" w:cstheme="minorEastAsia"/>
          <w:sz w:val="24"/>
          <w:szCs w:val="24"/>
        </w:rPr>
        <w:tab/>
      </w:r>
    </w:p>
    <w:p>
      <w:pPr>
        <w:pStyle w:val="5"/>
        <w:pageBreakBefore w:val="0"/>
        <w:widowControl w:val="0"/>
        <w:kinsoku/>
        <w:wordWrap/>
        <w:overflowPunct/>
        <w:topLinePunct w:val="0"/>
        <w:autoSpaceDE/>
        <w:autoSpaceDN/>
        <w:bidi w:val="0"/>
        <w:spacing w:line="300" w:lineRule="exact"/>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水质监测基础能力建设</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水质在线监测系统是一种集成传感器技术、数据采集与传输技术、智能分析算法的实时监测网络，能够连续、自动地采集水体关键指标数据，并通过数字化平台实现远程监控、预警及决策支持。</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点位选取原则</w:t>
      </w:r>
    </w:p>
    <w:p>
      <w:pPr>
        <w:keepNext w:val="0"/>
        <w:keepLines w:val="0"/>
        <w:pageBreakBefore w:val="0"/>
        <w:widowControl w:val="0"/>
        <w:numPr>
          <w:ilvl w:val="0"/>
          <w:numId w:val="5"/>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污染浓度高的入河排污口；</w:t>
      </w:r>
    </w:p>
    <w:p>
      <w:pPr>
        <w:keepNext w:val="0"/>
        <w:keepLines w:val="0"/>
        <w:pageBreakBefore w:val="0"/>
        <w:widowControl w:val="0"/>
        <w:numPr>
          <w:ilvl w:val="0"/>
          <w:numId w:val="5"/>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排污口集中的河道区域；</w:t>
      </w:r>
    </w:p>
    <w:p>
      <w:pPr>
        <w:keepNext w:val="0"/>
        <w:keepLines w:val="0"/>
        <w:pageBreakBefore w:val="0"/>
        <w:widowControl w:val="0"/>
        <w:numPr>
          <w:ilvl w:val="0"/>
          <w:numId w:val="5"/>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易发生溢流影响的种养殖区域（如莲藕种植区、葡萄种植区、稻虾共养区、畜禽养殖区以及鱼塘等）和农产品加工企业（如泡菜加工企业等），其附近或下游的河道；</w:t>
      </w:r>
    </w:p>
    <w:p>
      <w:pPr>
        <w:keepNext w:val="0"/>
        <w:keepLines w:val="0"/>
        <w:pageBreakBefore w:val="0"/>
        <w:widowControl w:val="0"/>
        <w:numPr>
          <w:ilvl w:val="0"/>
          <w:numId w:val="5"/>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重点考核区域范围内、排入重要水域的水功能区、国省考断面上下游；</w:t>
      </w:r>
    </w:p>
    <w:p>
      <w:pPr>
        <w:keepNext w:val="0"/>
        <w:keepLines w:val="0"/>
        <w:pageBreakBefore w:val="0"/>
        <w:widowControl w:val="0"/>
        <w:numPr>
          <w:ilvl w:val="0"/>
          <w:numId w:val="5"/>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应选取运营商4G/5G信号已覆盖、电力供应有保障、交通方便、地质稳定的区域；</w:t>
      </w:r>
    </w:p>
    <w:p>
      <w:pPr>
        <w:keepNext w:val="0"/>
        <w:keepLines w:val="0"/>
        <w:pageBreakBefore w:val="0"/>
        <w:widowControl w:val="0"/>
        <w:numPr>
          <w:ilvl w:val="0"/>
          <w:numId w:val="5"/>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选址需符合《地表水自动监测技术规范》（HJ 915.1—2024）等文件要求。</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固定7参水质监测站</w:t>
      </w:r>
    </w:p>
    <w:p>
      <w:pPr>
        <w:pStyle w:val="8"/>
        <w:keepNext w:val="0"/>
        <w:keepLines w:val="0"/>
        <w:pageBreakBefore w:val="0"/>
        <w:widowControl w:val="0"/>
        <w:kinsoku/>
        <w:wordWrap/>
        <w:overflowPunct/>
        <w:topLinePunct w:val="0"/>
        <w:autoSpaceDE/>
        <w:autoSpaceDN/>
        <w:bidi w:val="0"/>
        <w:adjustRightIn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固定式7参水质监测系统概述</w:t>
      </w:r>
    </w:p>
    <w:p>
      <w:pPr>
        <w:keepNext w:val="0"/>
        <w:keepLines w:val="0"/>
        <w:pageBreakBefore w:val="0"/>
        <w:widowControl w:val="0"/>
        <w:kinsoku/>
        <w:wordWrap/>
        <w:overflowPunct/>
        <w:topLinePunct w:val="0"/>
        <w:autoSpaceDE/>
        <w:autoSpaceDN/>
        <w:bidi w:val="0"/>
        <w:adjustRightInd w:val="0"/>
        <w:snapToGrid/>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固定7参水质监测站是一种集成多参数传感器、数据采集与传输系统、供电与防护装置于一体的长期监测设备，实时监测流域内水体</w:t>
      </w:r>
      <w:r>
        <w:rPr>
          <w:rFonts w:hint="default" w:asciiTheme="minorAscii" w:hAnsiTheme="minorAscii" w:eastAsiaTheme="minorEastAsia" w:cstheme="minorEastAsia"/>
          <w:sz w:val="24"/>
          <w:szCs w:val="24"/>
          <w:lang w:val="en-US" w:eastAsia="zh-CN"/>
        </w:rPr>
        <w:t>p</w:t>
      </w:r>
      <w:r>
        <w:rPr>
          <w:rFonts w:hint="default" w:asciiTheme="minorAscii" w:hAnsiTheme="minorAscii" w:eastAsiaTheme="minorEastAsia" w:cstheme="minorEastAsia"/>
          <w:sz w:val="24"/>
          <w:szCs w:val="24"/>
        </w:rPr>
        <w:t>H值、溶解氧（DO）等七种参数，全面评估水体健康状况，为污染溯源、生态修复及水资源管理提供数据支撑。</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固定式7参水质检测站系统构成</w:t>
      </w:r>
    </w:p>
    <w:p>
      <w:pPr>
        <w:pStyle w:val="17"/>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5275580" cy="3717290"/>
            <wp:effectExtent l="0" t="0" r="12700" b="127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9"/>
                    <a:stretch>
                      <a:fillRect/>
                    </a:stretch>
                  </pic:blipFill>
                  <pic:spPr>
                    <a:xfrm>
                      <a:off x="0" y="0"/>
                      <a:ext cx="5275580" cy="3717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33" w:afterLines="100"/>
        <w:ind w:left="0" w:leftChars="0" w:firstLine="0" w:firstLineChars="0"/>
        <w:jc w:val="center"/>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lang w:val="en-US" w:eastAsia="zh-CN"/>
        </w:rPr>
        <w:t>图7 固定7参水质监测站构成图</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固</w:t>
      </w:r>
      <w:r>
        <w:rPr>
          <w:rFonts w:hint="default" w:asciiTheme="minorAscii" w:hAnsiTheme="minorAscii" w:eastAsiaTheme="minorEastAsia" w:cstheme="minorEastAsia"/>
          <w:spacing w:val="-6"/>
          <w:sz w:val="24"/>
          <w:szCs w:val="24"/>
        </w:rPr>
        <w:t>定7参水质监测站</w:t>
      </w:r>
      <w:r>
        <w:rPr>
          <w:rFonts w:hint="default" w:asciiTheme="minorAscii" w:hAnsiTheme="minorAscii" w:eastAsiaTheme="minorEastAsia" w:cstheme="minorEastAsia"/>
          <w:spacing w:val="-6"/>
          <w:sz w:val="24"/>
          <w:szCs w:val="24"/>
          <w:lang w:val="en-US" w:eastAsia="zh-CN"/>
        </w:rPr>
        <w:t>由水质检测仪</w:t>
      </w:r>
      <w:r>
        <w:rPr>
          <w:rFonts w:hint="default" w:asciiTheme="minorAscii" w:hAnsiTheme="minorAscii" w:eastAsiaTheme="minorEastAsia" w:cstheme="minorEastAsia"/>
          <w:spacing w:val="-6"/>
          <w:sz w:val="24"/>
          <w:szCs w:val="24"/>
        </w:rPr>
        <w:t>、</w:t>
      </w:r>
      <w:r>
        <w:rPr>
          <w:rFonts w:hint="default" w:asciiTheme="minorAscii" w:hAnsiTheme="minorAscii" w:eastAsiaTheme="minorEastAsia" w:cstheme="minorEastAsia"/>
          <w:spacing w:val="-6"/>
          <w:sz w:val="24"/>
          <w:szCs w:val="24"/>
          <w:lang w:val="en-US" w:eastAsia="zh-CN"/>
        </w:rPr>
        <w:t>抗落差浮球、</w:t>
      </w:r>
      <w:r>
        <w:rPr>
          <w:rFonts w:hint="default" w:asciiTheme="minorAscii" w:hAnsiTheme="minorAscii" w:eastAsiaTheme="minorEastAsia" w:cstheme="minorEastAsia"/>
          <w:spacing w:val="-6"/>
          <w:sz w:val="24"/>
          <w:szCs w:val="24"/>
        </w:rPr>
        <w:t>供电系统</w:t>
      </w:r>
      <w:r>
        <w:rPr>
          <w:rFonts w:hint="default" w:asciiTheme="minorAscii" w:hAnsiTheme="minorAscii" w:eastAsiaTheme="minorEastAsia" w:cstheme="minorEastAsia"/>
          <w:spacing w:val="-6"/>
          <w:sz w:val="24"/>
          <w:szCs w:val="24"/>
          <w:lang w:eastAsia="zh-CN"/>
        </w:rPr>
        <w:t>、</w:t>
      </w:r>
      <w:r>
        <w:rPr>
          <w:rFonts w:hint="default" w:asciiTheme="minorAscii" w:hAnsiTheme="minorAscii" w:eastAsiaTheme="minorEastAsia" w:cstheme="minorEastAsia"/>
          <w:spacing w:val="-6"/>
          <w:sz w:val="24"/>
          <w:szCs w:val="24"/>
          <w:lang w:val="en-US" w:eastAsia="zh-CN"/>
        </w:rPr>
        <w:t>传输系统</w:t>
      </w:r>
      <w:r>
        <w:rPr>
          <w:rFonts w:hint="default" w:asciiTheme="minorAscii" w:hAnsiTheme="minorAscii" w:eastAsiaTheme="minorEastAsia" w:cstheme="minorEastAsia"/>
          <w:spacing w:val="-6"/>
          <w:sz w:val="24"/>
          <w:szCs w:val="24"/>
        </w:rPr>
        <w:t>等组成。</w:t>
      </w:r>
      <w:r>
        <w:rPr>
          <w:rFonts w:hint="default" w:asciiTheme="minorAscii" w:hAnsiTheme="minorAscii" w:eastAsiaTheme="minorEastAsia" w:cstheme="minorEastAsia"/>
          <w:spacing w:val="-6"/>
          <w:sz w:val="24"/>
          <w:szCs w:val="24"/>
          <w:lang w:val="en-US" w:eastAsia="zh-CN"/>
        </w:rPr>
        <w:t>水质检测仪实现对水体进行</w:t>
      </w:r>
      <w:r>
        <w:rPr>
          <w:rFonts w:hint="default" w:asciiTheme="minorAscii" w:hAnsiTheme="minorAscii" w:eastAsiaTheme="minorEastAsia" w:cstheme="minorEastAsia"/>
          <w:spacing w:val="-6"/>
          <w:sz w:val="24"/>
          <w:szCs w:val="24"/>
        </w:rPr>
        <w:t>常规</w:t>
      </w:r>
      <w:r>
        <w:rPr>
          <w:rFonts w:hint="default" w:asciiTheme="minorAscii" w:hAnsiTheme="minorAscii" w:eastAsiaTheme="minorEastAsia" w:cstheme="minorEastAsia"/>
          <w:spacing w:val="-6"/>
          <w:sz w:val="24"/>
          <w:szCs w:val="24"/>
          <w:lang w:val="en-US" w:eastAsia="zh-CN"/>
        </w:rPr>
        <w:t>七</w:t>
      </w:r>
      <w:r>
        <w:rPr>
          <w:rFonts w:hint="default" w:asciiTheme="minorAscii" w:hAnsiTheme="minorAscii" w:eastAsiaTheme="minorEastAsia" w:cstheme="minorEastAsia"/>
          <w:spacing w:val="-6"/>
          <w:sz w:val="24"/>
          <w:szCs w:val="24"/>
        </w:rPr>
        <w:t>参数</w:t>
      </w:r>
      <w:r>
        <w:rPr>
          <w:rFonts w:hint="default" w:asciiTheme="minorAscii" w:hAnsiTheme="minorAscii" w:eastAsiaTheme="minorEastAsia" w:cstheme="minorEastAsia"/>
          <w:spacing w:val="-6"/>
          <w:sz w:val="24"/>
          <w:szCs w:val="24"/>
          <w:lang w:val="en-US" w:eastAsia="zh-CN"/>
        </w:rPr>
        <w:t>监测</w:t>
      </w:r>
      <w:r>
        <w:rPr>
          <w:rFonts w:hint="default" w:asciiTheme="minorAscii" w:hAnsiTheme="minorAscii" w:eastAsiaTheme="minorEastAsia" w:cstheme="minorEastAsia"/>
          <w:spacing w:val="-6"/>
          <w:sz w:val="24"/>
          <w:szCs w:val="24"/>
        </w:rPr>
        <w:t>，实现数据</w:t>
      </w:r>
      <w:r>
        <w:rPr>
          <w:rFonts w:hint="default" w:asciiTheme="minorAscii" w:hAnsiTheme="minorAscii" w:eastAsiaTheme="minorEastAsia" w:cstheme="minorEastAsia"/>
          <w:spacing w:val="-6"/>
          <w:sz w:val="24"/>
          <w:szCs w:val="24"/>
          <w:lang w:val="en-US" w:eastAsia="zh-CN"/>
        </w:rPr>
        <w:t>的分析；视频监控系统实现对自动检测站的安防监控、</w:t>
      </w:r>
      <w:r>
        <w:rPr>
          <w:rFonts w:hint="default" w:asciiTheme="minorAscii" w:hAnsiTheme="minorAscii" w:eastAsiaTheme="minorEastAsia" w:cstheme="minorEastAsia"/>
          <w:spacing w:val="-6"/>
          <w:sz w:val="24"/>
          <w:szCs w:val="24"/>
        </w:rPr>
        <w:t>水体颜色识别、漂浮物检测</w:t>
      </w:r>
      <w:r>
        <w:rPr>
          <w:rFonts w:hint="default" w:asciiTheme="minorAscii" w:hAnsiTheme="minorAscii" w:eastAsiaTheme="minorEastAsia" w:cstheme="minorEastAsia"/>
          <w:spacing w:val="-6"/>
          <w:sz w:val="24"/>
          <w:szCs w:val="24"/>
          <w:lang w:val="en-US" w:eastAsia="zh-CN"/>
        </w:rPr>
        <w:t>等，并将相关视频回传后端平台；抗落差浮球通过抗冲击、防沉没、稳定姿态等技术特性，确保监测设备在落差大、水流急、波浪强的水域中持续稳定运行；点位所需电能由离网永磁磁悬浮发电机与太阳能光伏发电系统（即“一体化风光储能柱”）提供</w:t>
      </w:r>
      <w:r>
        <w:rPr>
          <w:rFonts w:hint="default" w:asciiTheme="minorAscii" w:hAnsiTheme="minorAscii" w:eastAsiaTheme="minorEastAsia" w:cstheme="minorEastAsia"/>
          <w:spacing w:val="-6"/>
          <w:sz w:val="24"/>
          <w:szCs w:val="24"/>
        </w:rPr>
        <w:t>；</w:t>
      </w:r>
      <w:r>
        <w:rPr>
          <w:rFonts w:hint="default" w:asciiTheme="minorAscii" w:hAnsiTheme="minorAscii" w:eastAsiaTheme="minorEastAsia" w:cstheme="minorEastAsia"/>
          <w:spacing w:val="-6"/>
          <w:sz w:val="24"/>
          <w:szCs w:val="24"/>
          <w:lang w:val="en-US" w:eastAsia="zh-CN"/>
        </w:rPr>
        <w:t>传输系统</w:t>
      </w:r>
      <w:r>
        <w:rPr>
          <w:rFonts w:hint="default" w:asciiTheme="minorAscii" w:hAnsiTheme="minorAscii" w:eastAsiaTheme="minorEastAsia" w:cstheme="minorEastAsia"/>
          <w:spacing w:val="-6"/>
          <w:sz w:val="24"/>
          <w:szCs w:val="24"/>
        </w:rPr>
        <w:t>完成数据</w:t>
      </w:r>
      <w:r>
        <w:rPr>
          <w:rFonts w:hint="default" w:asciiTheme="minorAscii" w:hAnsiTheme="minorAscii" w:eastAsiaTheme="minorEastAsia" w:cstheme="minorEastAsia"/>
          <w:spacing w:val="-6"/>
          <w:sz w:val="24"/>
          <w:szCs w:val="24"/>
          <w:lang w:val="en-US" w:eastAsia="zh-CN"/>
        </w:rPr>
        <w:t>与视频</w:t>
      </w:r>
      <w:r>
        <w:rPr>
          <w:rFonts w:hint="default" w:asciiTheme="minorAscii" w:hAnsiTheme="minorAscii" w:eastAsiaTheme="minorEastAsia" w:cstheme="minorEastAsia"/>
          <w:spacing w:val="-6"/>
          <w:sz w:val="24"/>
          <w:szCs w:val="24"/>
        </w:rPr>
        <w:t>的</w:t>
      </w:r>
      <w:r>
        <w:rPr>
          <w:rFonts w:hint="default" w:asciiTheme="minorAscii" w:hAnsiTheme="minorAscii" w:eastAsiaTheme="minorEastAsia" w:cstheme="minorEastAsia"/>
          <w:spacing w:val="-6"/>
          <w:sz w:val="24"/>
          <w:szCs w:val="24"/>
          <w:lang w:val="en-US" w:eastAsia="zh-CN"/>
        </w:rPr>
        <w:t>传输</w:t>
      </w:r>
      <w:r>
        <w:rPr>
          <w:rFonts w:hint="default" w:asciiTheme="minorAscii" w:hAnsiTheme="minorAscii" w:eastAsiaTheme="minorEastAsia" w:cstheme="minorEastAsia"/>
          <w:spacing w:val="-6"/>
          <w:sz w:val="24"/>
          <w:szCs w:val="24"/>
        </w:rPr>
        <w:t>，使在线监测的数据</w:t>
      </w:r>
      <w:r>
        <w:rPr>
          <w:rFonts w:hint="default" w:asciiTheme="minorAscii" w:hAnsiTheme="minorAscii" w:eastAsiaTheme="minorEastAsia" w:cstheme="minorEastAsia"/>
          <w:spacing w:val="-6"/>
          <w:sz w:val="24"/>
          <w:szCs w:val="24"/>
          <w:lang w:eastAsia="zh-CN"/>
        </w:rPr>
        <w:t>、</w:t>
      </w:r>
      <w:r>
        <w:rPr>
          <w:rFonts w:hint="default" w:asciiTheme="minorAscii" w:hAnsiTheme="minorAscii" w:eastAsiaTheme="minorEastAsia" w:cstheme="minorEastAsia"/>
          <w:spacing w:val="-6"/>
          <w:sz w:val="24"/>
          <w:szCs w:val="24"/>
          <w:lang w:val="en-US" w:eastAsia="zh-CN"/>
        </w:rPr>
        <w:t>视频</w:t>
      </w:r>
      <w:r>
        <w:rPr>
          <w:rFonts w:hint="default" w:asciiTheme="minorAscii" w:hAnsiTheme="minorAscii" w:eastAsiaTheme="minorEastAsia" w:cstheme="minorEastAsia"/>
          <w:spacing w:val="-6"/>
          <w:sz w:val="24"/>
          <w:szCs w:val="24"/>
        </w:rPr>
        <w:t>通过</w:t>
      </w:r>
      <w:r>
        <w:rPr>
          <w:rFonts w:hint="default" w:asciiTheme="minorAscii" w:hAnsiTheme="minorAscii" w:eastAsiaTheme="minorEastAsia" w:cstheme="minorEastAsia"/>
          <w:spacing w:val="-6"/>
          <w:sz w:val="24"/>
          <w:szCs w:val="24"/>
          <w:lang w:val="en-US" w:eastAsia="zh-CN"/>
        </w:rPr>
        <w:t>4G/5G网络或者有线网络发布</w:t>
      </w:r>
      <w:r>
        <w:rPr>
          <w:rFonts w:hint="default" w:asciiTheme="minorAscii" w:hAnsiTheme="minorAscii" w:eastAsiaTheme="minorEastAsia" w:cstheme="minorEastAsia"/>
          <w:spacing w:val="-6"/>
          <w:sz w:val="24"/>
          <w:szCs w:val="24"/>
        </w:rPr>
        <w:t>到</w:t>
      </w:r>
      <w:r>
        <w:rPr>
          <w:rFonts w:hint="default" w:asciiTheme="minorAscii" w:hAnsiTheme="minorAscii" w:eastAsiaTheme="minorEastAsia" w:cstheme="minorEastAsia"/>
          <w:spacing w:val="-6"/>
          <w:sz w:val="24"/>
          <w:szCs w:val="24"/>
          <w:lang w:val="en-US" w:eastAsia="zh-CN"/>
        </w:rPr>
        <w:t>风险源监测与环境应急平台</w:t>
      </w:r>
      <w:r>
        <w:rPr>
          <w:rFonts w:hint="default" w:asciiTheme="minorAscii" w:hAnsiTheme="minorAscii" w:eastAsiaTheme="minorEastAsia" w:cstheme="minorEastAsia"/>
          <w:spacing w:val="-6"/>
          <w:sz w:val="24"/>
          <w:szCs w:val="24"/>
          <w:lang w:eastAsia="zh-CN"/>
        </w:rPr>
        <w:t>（</w:t>
      </w:r>
      <w:r>
        <w:rPr>
          <w:rFonts w:hint="default" w:asciiTheme="minorAscii" w:hAnsiTheme="minorAscii" w:eastAsiaTheme="minorEastAsia" w:cstheme="minorEastAsia"/>
          <w:spacing w:val="-6"/>
          <w:sz w:val="24"/>
          <w:szCs w:val="24"/>
          <w:lang w:val="en-US" w:eastAsia="zh-CN"/>
        </w:rPr>
        <w:t>系统</w:t>
      </w:r>
      <w:r>
        <w:rPr>
          <w:rFonts w:hint="default" w:asciiTheme="minorAscii" w:hAnsiTheme="minorAscii" w:eastAsiaTheme="minorEastAsia" w:cstheme="minorEastAsia"/>
          <w:spacing w:val="-6"/>
          <w:sz w:val="24"/>
          <w:szCs w:val="24"/>
          <w:lang w:eastAsia="zh-CN"/>
        </w:rPr>
        <w:t>）</w:t>
      </w:r>
      <w:r>
        <w:rPr>
          <w:rFonts w:hint="default" w:asciiTheme="minorAscii" w:hAnsiTheme="minorAscii" w:eastAsiaTheme="minorEastAsia" w:cstheme="minorEastAsia"/>
          <w:spacing w:val="-6"/>
          <w:sz w:val="24"/>
          <w:szCs w:val="24"/>
        </w:rPr>
        <w:t>。</w:t>
      </w:r>
      <w:r>
        <w:rPr>
          <w:rFonts w:hint="default" w:asciiTheme="minorAscii" w:hAnsiTheme="minorAscii" w:eastAsiaTheme="minorEastAsia" w:cstheme="minorEastAsia"/>
          <w:spacing w:val="-6"/>
          <w:sz w:val="24"/>
          <w:szCs w:val="24"/>
          <w:lang w:val="en-US" w:eastAsia="zh-CN"/>
        </w:rPr>
        <w:t>网络传输租用本地运营商链路。</w:t>
      </w:r>
    </w:p>
    <w:p>
      <w:pPr>
        <w:pStyle w:val="8"/>
        <w:keepNext w:val="0"/>
        <w:keepLines w:val="0"/>
        <w:pageBreakBefore w:val="0"/>
        <w:widowControl w:val="0"/>
        <w:kinsoku/>
        <w:wordWrap/>
        <w:overflowPunct/>
        <w:topLinePunct w:val="0"/>
        <w:autoSpaceDE/>
        <w:autoSpaceDN/>
        <w:bidi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固定式7参水质检测系统功能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分布于各监测点的监测站全自动运行，可对现场水质进行实时监测并</w:t>
      </w:r>
      <w:r>
        <w:rPr>
          <w:rFonts w:hint="default" w:asciiTheme="minorAscii" w:hAnsiTheme="minorAscii" w:eastAsiaTheme="minorEastAsia" w:cstheme="minorEastAsia"/>
          <w:sz w:val="24"/>
          <w:szCs w:val="24"/>
          <w:lang w:val="en-US" w:eastAsia="zh-CN"/>
        </w:rPr>
        <w:t>通过平台</w:t>
      </w:r>
      <w:r>
        <w:rPr>
          <w:rFonts w:hint="default" w:asciiTheme="minorAscii" w:hAnsiTheme="minorAscii" w:eastAsiaTheme="minorEastAsia" w:cstheme="minorEastAsia"/>
          <w:sz w:val="24"/>
          <w:szCs w:val="24"/>
        </w:rPr>
        <w:t>记录水质的变化，通过专用的通讯系统，将监测数据</w:t>
      </w:r>
      <w:r>
        <w:rPr>
          <w:rFonts w:hint="default" w:asciiTheme="minorAscii" w:hAnsiTheme="minorAscii" w:eastAsiaTheme="minorEastAsia" w:cstheme="minorEastAsia"/>
          <w:sz w:val="24"/>
          <w:szCs w:val="24"/>
          <w:lang w:val="en-US" w:eastAsia="zh-CN"/>
        </w:rPr>
        <w:t>回</w:t>
      </w:r>
      <w:r>
        <w:rPr>
          <w:rFonts w:hint="default" w:asciiTheme="minorAscii" w:hAnsiTheme="minorAscii" w:eastAsiaTheme="minorEastAsia" w:cstheme="minorEastAsia"/>
          <w:sz w:val="24"/>
          <w:szCs w:val="24"/>
        </w:rPr>
        <w:t>传至</w:t>
      </w:r>
      <w:r>
        <w:rPr>
          <w:rFonts w:hint="default" w:asciiTheme="minorAscii" w:hAnsiTheme="minorAscii" w:eastAsiaTheme="minorEastAsia" w:cstheme="minorEastAsia"/>
          <w:sz w:val="24"/>
          <w:szCs w:val="24"/>
          <w:lang w:val="en-US" w:eastAsia="zh-CN"/>
        </w:rPr>
        <w:t>平台</w:t>
      </w:r>
      <w:r>
        <w:rPr>
          <w:rFonts w:hint="default" w:asciiTheme="minorAscii" w:hAnsiTheme="minorAscii" w:eastAsiaTheme="minorEastAsia" w:cstheme="minorEastAsia"/>
          <w:sz w:val="24"/>
          <w:szCs w:val="24"/>
        </w:rPr>
        <w:t>，从而实现监控中心对各</w:t>
      </w:r>
      <w:r>
        <w:rPr>
          <w:rFonts w:hint="default" w:asciiTheme="minorAscii" w:hAnsiTheme="minorAscii" w:eastAsiaTheme="minorEastAsia" w:cstheme="minorEastAsia"/>
          <w:sz w:val="24"/>
          <w:szCs w:val="24"/>
          <w:lang w:val="en-US" w:eastAsia="zh-CN"/>
        </w:rPr>
        <w:t>监测点水质的</w:t>
      </w:r>
      <w:r>
        <w:rPr>
          <w:rFonts w:hint="default" w:asciiTheme="minorAscii" w:hAnsiTheme="minorAscii" w:eastAsiaTheme="minorEastAsia" w:cstheme="minorEastAsia"/>
          <w:sz w:val="24"/>
          <w:szCs w:val="24"/>
        </w:rPr>
        <w:t>有效监管。</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水体颜色识别：预置水体颜色识别模型，支持实时检测排水口水体颜色，并可识别检测区域内不同排水口的颜色差异，并具备触发报警；</w:t>
      </w:r>
    </w:p>
    <w:p>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漂浮物检测：预置漂浮物检测模型，当检测区域水面漂浮物面积超过设定阈值时，自动触发报警提示；</w:t>
      </w:r>
    </w:p>
    <w:p>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456"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pacing w:val="-6"/>
          <w:sz w:val="24"/>
          <w:szCs w:val="24"/>
          <w:lang w:val="en-US" w:eastAsia="zh-CN"/>
        </w:rPr>
        <w:t>排水口水流检测：实时监测排水口是否有水流出，检测到水流时触发报警；</w:t>
      </w:r>
    </w:p>
    <w:p>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支持4G或5G无线传输，需支持卫星定位；</w:t>
      </w:r>
    </w:p>
    <w:p>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实时监测氨氮、溶解氧、COD、pH、温度、电导率和浊度检测指标，需支持自动清洁，防止微生物附着；</w:t>
      </w:r>
    </w:p>
    <w:p>
      <w:pPr>
        <w:pStyle w:val="17"/>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7参水质监测站点的作用是检测取样点水质的氨氮、溶解氧、COD、pH、温度、电导率和浊度共7个指标，更是在广元主城区居民饮用水取水口附近的2个取样点依据《地表水环境质量评价技术规范》增加了水质营养状态评价指标（叶绿素、透明度、总氮、总磷、高锰酸盐指数）检测。</w:t>
      </w:r>
    </w:p>
    <w:p>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具备光伏储能供电功能；</w:t>
      </w:r>
    </w:p>
    <w:p>
      <w:pPr>
        <w:keepNext w:val="0"/>
        <w:keepLines w:val="0"/>
        <w:pageBreakBefore w:val="0"/>
        <w:widowControl w:val="0"/>
        <w:numPr>
          <w:ilvl w:val="0"/>
          <w:numId w:val="6"/>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具备传感器远程管理、信息编辑、配置功能。</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联动检测-气象及空气质量数据采集分析系统概述</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气象及空气质量数据采集分析系统是一种高度集成的现代化气象观测设备，它利用先进的传感器技术、通信技术和数据处理技术，实现对大气环境参数的实时监测和数据分析。该系统通常包括多个不同类型的传感器，如温度传感器、湿度传感器、风速风向传感器、气压传感器等，这些传感器能够精确地测量并记录各种气象数据。气象及空气站监测智慧化系统的工作原理，是通过安装在各个位置的传感器收集数据，然后通过无线或有线网络将这些数据传输到数据处理单元。在数据处理单元中，数据被存储、处理和分析，以生成详细的气象报告和预测。这些信息可以用于多种目的，包括天气预报、气候变化研究、灾害预警和生态环境保护规划等。系统还具有自动校准和自我诊断功能，确保数据的准确性和系统的稳定性。它还可以通过互联网或移动应用程序提供远程访问和控制，使用户能够随时随地获取最新的气象信息。</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w:t>
      </w:r>
      <w:r>
        <w:rPr>
          <w:rFonts w:hint="default" w:asciiTheme="minorAscii" w:hAnsiTheme="minorAscii" w:eastAsiaTheme="minorEastAsia" w:cstheme="minorEastAsia"/>
          <w:sz w:val="24"/>
          <w:szCs w:val="24"/>
        </w:rPr>
        <w:t>白龙湖风景名胜区的核心节点</w:t>
      </w:r>
      <w:r>
        <w:rPr>
          <w:rFonts w:hint="default" w:asciiTheme="minorAscii" w:hAnsiTheme="minorAscii" w:eastAsiaTheme="minorEastAsia" w:cstheme="minorEastAsia"/>
          <w:sz w:val="24"/>
          <w:szCs w:val="24"/>
          <w:lang w:val="en-US" w:eastAsia="zh-CN"/>
        </w:rPr>
        <w:t>建设气象及</w:t>
      </w:r>
      <w:r>
        <w:rPr>
          <w:rFonts w:hint="default" w:asciiTheme="minorAscii" w:hAnsiTheme="minorAscii" w:eastAsiaTheme="minorEastAsia" w:cstheme="minorEastAsia"/>
          <w:sz w:val="24"/>
          <w:szCs w:val="24"/>
        </w:rPr>
        <w:t>空气质量</w:t>
      </w:r>
      <w:r>
        <w:rPr>
          <w:rFonts w:hint="default" w:asciiTheme="minorAscii" w:hAnsiTheme="minorAscii" w:eastAsiaTheme="minorEastAsia" w:cstheme="minorEastAsia"/>
          <w:sz w:val="24"/>
          <w:szCs w:val="24"/>
          <w:lang w:val="en-US" w:eastAsia="zh-CN"/>
        </w:rPr>
        <w:t>监测站</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z w:val="24"/>
          <w:szCs w:val="24"/>
          <w:lang w:val="en-US" w:eastAsia="zh-CN"/>
        </w:rPr>
        <w:t>旨在</w:t>
      </w:r>
      <w:r>
        <w:rPr>
          <w:rFonts w:hint="default" w:asciiTheme="minorAscii" w:hAnsiTheme="minorAscii" w:eastAsiaTheme="minorEastAsia" w:cstheme="minorEastAsia"/>
          <w:sz w:val="24"/>
          <w:szCs w:val="24"/>
        </w:rPr>
        <w:t>对大气温湿度、风速风向、负氧离子浓度</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PM2.5、PM10、SO2、NO2、CO、O3</w:t>
      </w:r>
      <w:r>
        <w:rPr>
          <w:rFonts w:hint="default" w:asciiTheme="minorAscii" w:hAnsiTheme="minorAscii" w:eastAsiaTheme="minorEastAsia" w:cstheme="minorEastAsia"/>
          <w:sz w:val="24"/>
          <w:szCs w:val="24"/>
          <w:lang w:val="en-US" w:eastAsia="zh-CN"/>
        </w:rPr>
        <w:t>等指标进行</w:t>
      </w:r>
      <w:r>
        <w:rPr>
          <w:rFonts w:hint="default" w:asciiTheme="minorAscii" w:hAnsiTheme="minorAscii" w:eastAsiaTheme="minorEastAsia" w:cstheme="minorEastAsia"/>
          <w:sz w:val="24"/>
          <w:szCs w:val="24"/>
        </w:rPr>
        <w:t>实时、精准监测</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提升景区气候</w:t>
      </w:r>
      <w:r>
        <w:rPr>
          <w:rFonts w:hint="default" w:asciiTheme="minorAscii" w:hAnsiTheme="minorAscii" w:eastAsiaTheme="minorEastAsia" w:cstheme="minorEastAsia"/>
          <w:sz w:val="24"/>
          <w:szCs w:val="24"/>
          <w:lang w:val="en-US" w:eastAsia="zh-CN"/>
        </w:rPr>
        <w:t>及空气质量</w:t>
      </w:r>
      <w:r>
        <w:rPr>
          <w:rFonts w:hint="default" w:asciiTheme="minorAscii" w:hAnsiTheme="minorAscii" w:eastAsiaTheme="minorEastAsia" w:cstheme="minorEastAsia"/>
          <w:sz w:val="24"/>
          <w:szCs w:val="24"/>
        </w:rPr>
        <w:t>监测能力、优化游客体验。</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气象及空气质量监测点位选取原则</w:t>
      </w:r>
    </w:p>
    <w:p>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优先选择能反映区域气候特征的点位；</w:t>
      </w:r>
    </w:p>
    <w:p>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选择</w:t>
      </w:r>
      <w:r>
        <w:rPr>
          <w:rFonts w:hint="default" w:asciiTheme="minorAscii" w:hAnsiTheme="minorAscii" w:eastAsiaTheme="minorEastAsia" w:cstheme="minorEastAsia"/>
          <w:sz w:val="24"/>
          <w:szCs w:val="24"/>
        </w:rPr>
        <w:t>既保证数据代表性，又增强游客生态体验</w:t>
      </w:r>
      <w:r>
        <w:rPr>
          <w:rFonts w:hint="default" w:asciiTheme="minorAscii" w:hAnsiTheme="minorAscii" w:eastAsiaTheme="minorEastAsia" w:cstheme="minorEastAsia"/>
          <w:sz w:val="24"/>
          <w:szCs w:val="24"/>
          <w:lang w:val="en-US" w:eastAsia="zh-CN"/>
        </w:rPr>
        <w:t>的地段</w:t>
      </w:r>
      <w:r>
        <w:rPr>
          <w:rFonts w:hint="default" w:asciiTheme="minorAscii" w:hAnsiTheme="minorAscii" w:eastAsiaTheme="minorEastAsia" w:cstheme="minorEastAsia"/>
          <w:sz w:val="24"/>
          <w:szCs w:val="24"/>
        </w:rPr>
        <w:t>；</w:t>
      </w:r>
    </w:p>
    <w:p>
      <w:pPr>
        <w:keepNext w:val="0"/>
        <w:keepLines w:val="0"/>
        <w:pageBreakBefore w:val="0"/>
        <w:widowControl w:val="0"/>
        <w:numPr>
          <w:ilvl w:val="0"/>
          <w:numId w:val="7"/>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靠近</w:t>
      </w:r>
      <w:r>
        <w:rPr>
          <w:rFonts w:hint="default" w:asciiTheme="minorAscii" w:hAnsiTheme="minorAscii" w:eastAsiaTheme="minorEastAsia" w:cstheme="minorEastAsia"/>
          <w:sz w:val="24"/>
          <w:szCs w:val="24"/>
          <w:lang w:val="en-US" w:eastAsia="zh-CN"/>
        </w:rPr>
        <w:t>湖区</w:t>
      </w:r>
      <w:r>
        <w:rPr>
          <w:rFonts w:hint="default" w:asciiTheme="minorAscii" w:hAnsiTheme="minorAscii" w:eastAsiaTheme="minorEastAsia" w:cstheme="minorEastAsia"/>
          <w:sz w:val="24"/>
          <w:szCs w:val="24"/>
        </w:rPr>
        <w:t>部署传感器，同步监测温湿度与负氧离子，评估生态修复效果。</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气象及空气质量数据采集分析系统构成</w:t>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2713990" cy="3841750"/>
            <wp:effectExtent l="0" t="0" r="13970" b="13970"/>
            <wp:docPr id="19" name="图片 1" descr="气象及空气质量监测站插图2025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气象及空气质量监测站插图20251110"/>
                    <pic:cNvPicPr>
                      <a:picLocks noChangeAspect="1"/>
                    </pic:cNvPicPr>
                  </pic:nvPicPr>
                  <pic:blipFill>
                    <a:blip r:embed="rId10"/>
                    <a:srcRect t="2678"/>
                    <a:stretch>
                      <a:fillRect/>
                    </a:stretch>
                  </pic:blipFill>
                  <pic:spPr>
                    <a:xfrm>
                      <a:off x="0" y="0"/>
                      <a:ext cx="2713990" cy="3841750"/>
                    </a:xfrm>
                    <a:prstGeom prst="rect">
                      <a:avLst/>
                    </a:prstGeom>
                  </pic:spPr>
                </pic:pic>
              </a:graphicData>
            </a:graphic>
          </wp:inline>
        </w:drawing>
      </w:r>
    </w:p>
    <w:p>
      <w:pPr>
        <w:ind w:left="0" w:leftChars="0" w:firstLine="0" w:firstLineChars="0"/>
        <w:jc w:val="center"/>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图8 气象及空气质量数据采集分析系统构成图</w:t>
      </w:r>
    </w:p>
    <w:p>
      <w:pPr>
        <w:keepNext w:val="0"/>
        <w:keepLines w:val="0"/>
        <w:pageBreakBefore w:val="0"/>
        <w:widowControl/>
        <w:suppressLineNumbers w:val="0"/>
        <w:kinsoku/>
        <w:wordWrap/>
        <w:overflowPunct/>
        <w:topLinePunct w:val="0"/>
        <w:autoSpaceDE/>
        <w:autoSpaceDN/>
        <w:bidi w:val="0"/>
        <w:adjustRightInd w:val="0"/>
        <w:snapToGrid w:val="0"/>
        <w:spacing w:before="333" w:beforeLines="100"/>
        <w:jc w:val="both"/>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气象及空气质量监测系统主要由高精度的传感器、数据采集模块、传输系统、立杆、供配电系统等设备组成。高精度的传感器主要采集温度、湿度、气压、风速风向、降水量、光照、辐射、颗粒物（PM2.5/PM10）、二氧化硫（SO2）等</w:t>
      </w:r>
      <w:r>
        <w:rPr>
          <w:rFonts w:hint="default" w:asciiTheme="minorAscii" w:hAnsiTheme="minorAscii" w:eastAsiaTheme="minorEastAsia" w:cstheme="minorEastAsia"/>
          <w:color w:val="000000"/>
          <w:kern w:val="0"/>
          <w:sz w:val="24"/>
          <w:szCs w:val="24"/>
          <w:lang w:val="en-US" w:eastAsia="zh-CN" w:bidi="ar"/>
        </w:rPr>
        <w:t>当前环境中的各项气象及空气质量参数；数据采集模块负责实时采集传感器数据，并按照预设的时间间隔自动记录；</w:t>
      </w:r>
      <w:r>
        <w:rPr>
          <w:rFonts w:hint="default" w:asciiTheme="minorAscii" w:hAnsiTheme="minorAscii" w:eastAsiaTheme="minorEastAsia" w:cstheme="minorEastAsia"/>
          <w:sz w:val="24"/>
          <w:szCs w:val="24"/>
          <w:lang w:val="en-US" w:eastAsia="zh-CN"/>
        </w:rPr>
        <w:t>传输系统利用4G/5G或者有线传输的方式</w:t>
      </w:r>
      <w:r>
        <w:rPr>
          <w:rFonts w:hint="default" w:asciiTheme="minorAscii" w:hAnsiTheme="minorAscii" w:eastAsiaTheme="minorEastAsia" w:cstheme="minorEastAsia"/>
          <w:color w:val="000000"/>
          <w:kern w:val="0"/>
          <w:sz w:val="24"/>
          <w:szCs w:val="24"/>
          <w:lang w:val="en-US" w:eastAsia="zh-CN" w:bidi="ar"/>
        </w:rPr>
        <w:t>将采集到的实时数据安全快速地发送给后端平台；</w:t>
      </w:r>
      <w:r>
        <w:rPr>
          <w:rFonts w:hint="default" w:asciiTheme="minorAscii" w:hAnsiTheme="minorAscii" w:eastAsiaTheme="minorEastAsia" w:cstheme="minorEastAsia"/>
          <w:sz w:val="24"/>
          <w:szCs w:val="24"/>
          <w:lang w:val="en-US" w:eastAsia="zh-CN"/>
        </w:rPr>
        <w:t>立杆主要用于承载安装各类设备组件；供配电系统采用就近接入有空中心的方式为各设备提供电源。</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气象及空气质量监测系统功能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通过部署在</w:t>
      </w:r>
      <w:r>
        <w:rPr>
          <w:rFonts w:hint="default" w:asciiTheme="minorAscii" w:hAnsiTheme="minorAscii" w:eastAsiaTheme="minorEastAsia" w:cstheme="minorEastAsia"/>
          <w:sz w:val="24"/>
          <w:szCs w:val="24"/>
          <w:lang w:val="en-US" w:eastAsia="zh-CN"/>
        </w:rPr>
        <w:t>游客中心的气象及空气质量监测设备</w:t>
      </w:r>
      <w:r>
        <w:rPr>
          <w:rFonts w:hint="default" w:asciiTheme="minorAscii" w:hAnsiTheme="minorAscii" w:eastAsiaTheme="minorEastAsia" w:cstheme="minorEastAsia"/>
          <w:sz w:val="24"/>
          <w:szCs w:val="24"/>
        </w:rPr>
        <w:t>，实时</w:t>
      </w:r>
      <w:r>
        <w:rPr>
          <w:rFonts w:hint="default" w:asciiTheme="minorAscii" w:hAnsiTheme="minorAscii" w:eastAsiaTheme="minorEastAsia" w:cstheme="minorEastAsia"/>
          <w:sz w:val="24"/>
          <w:szCs w:val="24"/>
          <w:lang w:val="en-US" w:eastAsia="zh-CN"/>
        </w:rPr>
        <w:t>掌握气象及空气质量情况</w:t>
      </w:r>
      <w:r>
        <w:rPr>
          <w:rFonts w:hint="default" w:asciiTheme="minorAscii" w:hAnsiTheme="minorAscii" w:eastAsiaTheme="minorEastAsia" w:cstheme="minorEastAsia"/>
          <w:sz w:val="24"/>
          <w:szCs w:val="24"/>
        </w:rPr>
        <w:t>，提升景区气候</w:t>
      </w:r>
      <w:r>
        <w:rPr>
          <w:rFonts w:hint="default" w:asciiTheme="minorAscii" w:hAnsiTheme="minorAscii" w:eastAsiaTheme="minorEastAsia" w:cstheme="minorEastAsia"/>
          <w:sz w:val="24"/>
          <w:szCs w:val="24"/>
          <w:lang w:val="en-US" w:eastAsia="zh-CN"/>
        </w:rPr>
        <w:t>及空气质量</w:t>
      </w:r>
      <w:r>
        <w:rPr>
          <w:rFonts w:hint="default" w:asciiTheme="minorAscii" w:hAnsiTheme="minorAscii" w:eastAsiaTheme="minorEastAsia" w:cstheme="minorEastAsia"/>
          <w:sz w:val="24"/>
          <w:szCs w:val="24"/>
        </w:rPr>
        <w:t>监测能力、优化游客体验。</w:t>
      </w: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可灵活检测仪表设置，实现数据采集频率的精准调控、系数校准、时间同步以及报警参数设置等功能，满足不同监测场景的个性化需求</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支持4G/5G或者有线传输的方式；</w:t>
      </w:r>
    </w:p>
    <w:p>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具备远程控制、操作功能；</w:t>
      </w:r>
    </w:p>
    <w:p>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平均无故障连续运行时间（MTBF）：1440h以上</w:t>
      </w:r>
    </w:p>
    <w:p>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具备数据超标联动报警功能，监测数据超标时，可及时向监控中心进行报警；</w:t>
      </w:r>
    </w:p>
    <w:p>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具备云端自动校准、断网数据续传、上电自动启动、设备定位、数据实时显示，平台查询和下载功能；</w:t>
      </w:r>
    </w:p>
    <w:p>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实时采集温度、湿度、气压、风速风向、降水量、光照、辐射、颗粒物（PM2.5/PM10）、二氧化硫（SO2）等</w:t>
      </w:r>
      <w:r>
        <w:rPr>
          <w:rFonts w:hint="default" w:asciiTheme="minorAscii" w:hAnsiTheme="minorAscii" w:eastAsiaTheme="minorEastAsia" w:cstheme="minorEastAsia"/>
          <w:color w:val="000000"/>
          <w:kern w:val="0"/>
          <w:sz w:val="24"/>
          <w:szCs w:val="24"/>
          <w:lang w:val="en-US" w:eastAsia="zh-CN" w:bidi="ar"/>
        </w:rPr>
        <w:t>当前环境中的各项气象及空气质量参数。</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联动检测-水位监测系统概述</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位是描述水体自由水面相对于特定基面高程的水文参数，系反映江河湖泊水情变化最直观的指标。水位变化主要受到水体自身水量的变动、外部环境条件的改变以及水体受到的干扰等因素的影响，可通过水位过程线直观反映动态趋势。水位的变化不仅影响湖区景观，更对当地生态环境产生深远影响。而在防汛工作中设置警戒水位，可以判断是否需要启动防洪应急措施。监测湖泊水位的变化对于确保水资源的有效管理和保护环境具有重要意义。</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水位监测点位选取原则</w:t>
      </w:r>
    </w:p>
    <w:p>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选择河流的不同位置，比如上游、中游、下游，全面了解河流水位情况；</w:t>
      </w:r>
    </w:p>
    <w:p>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选择河道变宽或者变窄等重点部位的地方；</w:t>
      </w:r>
    </w:p>
    <w:p>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选择交通便利的地点，方便设备运输及后期维护；</w:t>
      </w:r>
    </w:p>
    <w:p>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选</w:t>
      </w:r>
      <w:r>
        <w:rPr>
          <w:rFonts w:hint="default" w:asciiTheme="minorAscii" w:hAnsiTheme="minorAscii" w:eastAsiaTheme="minorEastAsia" w:cstheme="minorEastAsia"/>
          <w:sz w:val="24"/>
          <w:szCs w:val="24"/>
          <w:lang w:val="en-US" w:eastAsia="zh-CN"/>
        </w:rPr>
        <w:t>择运营商4G/5G信号已覆盖、电力供应有保障</w:t>
      </w:r>
      <w:r>
        <w:rPr>
          <w:rFonts w:hint="default" w:asciiTheme="minorAscii" w:hAnsiTheme="minorAscii" w:eastAsiaTheme="minorEastAsia" w:cstheme="minorEastAsia"/>
          <w:sz w:val="24"/>
          <w:szCs w:val="24"/>
        </w:rPr>
        <w:t>的区域</w:t>
      </w:r>
      <w:r>
        <w:rPr>
          <w:rFonts w:hint="default" w:asciiTheme="minorAscii" w:hAnsiTheme="minorAscii" w:eastAsiaTheme="minorEastAsia" w:cstheme="minorEastAsia"/>
          <w:sz w:val="24"/>
          <w:szCs w:val="24"/>
          <w:lang w:eastAsia="zh-CN"/>
        </w:rPr>
        <w:t>。</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水位监测系统构成</w:t>
      </w:r>
    </w:p>
    <w:p>
      <w:pPr>
        <w:bidi w:val="0"/>
        <w:ind w:left="0" w:leftChars="0" w:firstLine="0" w:firstLineChars="0"/>
        <w:jc w:val="cente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4552315" cy="3669030"/>
            <wp:effectExtent l="0" t="0" r="4445" b="3810"/>
            <wp:docPr id="1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
                    <pic:cNvPicPr>
                      <a:picLocks noChangeAspect="1"/>
                    </pic:cNvPicPr>
                  </pic:nvPicPr>
                  <pic:blipFill>
                    <a:blip r:embed="rId11"/>
                    <a:srcRect b="595"/>
                    <a:stretch>
                      <a:fillRect/>
                    </a:stretch>
                  </pic:blipFill>
                  <pic:spPr>
                    <a:xfrm>
                      <a:off x="0" y="0"/>
                      <a:ext cx="4552315" cy="36690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图9 水位监测系统构成图</w:t>
      </w:r>
    </w:p>
    <w:p>
      <w:pPr>
        <w:keepNext w:val="0"/>
        <w:keepLines w:val="0"/>
        <w:pageBreakBefore w:val="0"/>
        <w:widowControl w:val="0"/>
        <w:kinsoku/>
        <w:wordWrap/>
        <w:overflowPunct/>
        <w:topLinePunct w:val="0"/>
        <w:autoSpaceDE/>
        <w:autoSpaceDN/>
        <w:bidi w:val="0"/>
        <w:adjustRightInd w:val="0"/>
        <w:snapToGrid w:val="0"/>
        <w:spacing w:before="167" w:beforeLines="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水位监测系统由雷达液位计、便携式</w:t>
      </w:r>
      <w:r>
        <w:rPr>
          <w:rFonts w:hint="default" w:asciiTheme="minorAscii" w:hAnsiTheme="minorAscii" w:eastAsiaTheme="minorEastAsia" w:cstheme="minorEastAsia"/>
          <w:kern w:val="21"/>
          <w:sz w:val="24"/>
          <w:szCs w:val="24"/>
        </w:rPr>
        <w:t>超声波</w:t>
      </w:r>
      <w:r>
        <w:rPr>
          <w:rFonts w:hint="default" w:asciiTheme="minorAscii" w:hAnsiTheme="minorAscii" w:eastAsiaTheme="minorEastAsia" w:cstheme="minorEastAsia"/>
          <w:kern w:val="21"/>
          <w:sz w:val="24"/>
          <w:szCs w:val="24"/>
          <w:lang w:val="en-US" w:eastAsia="zh-CN"/>
        </w:rPr>
        <w:t>测距仪、传输系统、供配电系统等组成。</w:t>
      </w:r>
      <w:r>
        <w:rPr>
          <w:rFonts w:hint="default" w:asciiTheme="minorAscii" w:hAnsiTheme="minorAscii" w:eastAsiaTheme="minorEastAsia" w:cstheme="minorEastAsia"/>
          <w:sz w:val="24"/>
          <w:szCs w:val="24"/>
          <w:lang w:val="en-US" w:eastAsia="zh-CN"/>
        </w:rPr>
        <w:t>雷达液位计用于测量雷达可达位置水位的计量；便携式</w:t>
      </w:r>
      <w:r>
        <w:rPr>
          <w:rFonts w:hint="default" w:asciiTheme="minorAscii" w:hAnsiTheme="minorAscii" w:eastAsiaTheme="minorEastAsia" w:cstheme="minorEastAsia"/>
          <w:kern w:val="21"/>
          <w:sz w:val="24"/>
          <w:szCs w:val="24"/>
        </w:rPr>
        <w:t>超声波</w:t>
      </w:r>
      <w:r>
        <w:rPr>
          <w:rFonts w:hint="default" w:asciiTheme="minorAscii" w:hAnsiTheme="minorAscii" w:eastAsiaTheme="minorEastAsia" w:cstheme="minorEastAsia"/>
          <w:kern w:val="21"/>
          <w:sz w:val="24"/>
          <w:szCs w:val="24"/>
          <w:lang w:val="en-US" w:eastAsia="zh-CN"/>
        </w:rPr>
        <w:t>测距仪用于寻找</w:t>
      </w:r>
      <w:r>
        <w:rPr>
          <w:rFonts w:hint="default" w:asciiTheme="minorAscii" w:hAnsiTheme="minorAscii" w:eastAsiaTheme="minorEastAsia" w:cstheme="minorEastAsia"/>
          <w:sz w:val="24"/>
          <w:szCs w:val="24"/>
          <w:lang w:val="en-US" w:eastAsia="zh-CN"/>
        </w:rPr>
        <w:t>雷达液位计周边一定范围内湖泊最深处，作为水位计量基点；</w:t>
      </w:r>
      <w:r>
        <w:rPr>
          <w:rFonts w:hint="default" w:asciiTheme="minorAscii" w:hAnsiTheme="minorAscii" w:eastAsiaTheme="minorEastAsia" w:cstheme="minorEastAsia"/>
          <w:kern w:val="21"/>
          <w:sz w:val="24"/>
          <w:szCs w:val="24"/>
          <w:lang w:val="en-US" w:eastAsia="zh-CN"/>
        </w:rPr>
        <w:t>供配电系统</w:t>
      </w:r>
      <w:r>
        <w:rPr>
          <w:rFonts w:hint="default" w:asciiTheme="minorAscii" w:hAnsiTheme="minorAscii" w:eastAsiaTheme="minorEastAsia" w:cstheme="minorEastAsia"/>
          <w:sz w:val="24"/>
          <w:szCs w:val="24"/>
          <w:lang w:val="en-US" w:eastAsia="zh-CN"/>
        </w:rPr>
        <w:t>由一体化光储能柱组成</w:t>
      </w:r>
      <w:r>
        <w:rPr>
          <w:rFonts w:hint="default" w:asciiTheme="minorAscii" w:hAnsiTheme="minorAscii" w:eastAsiaTheme="minorEastAsia" w:cstheme="minorEastAsia"/>
          <w:sz w:val="24"/>
          <w:szCs w:val="24"/>
        </w:rPr>
        <w:t>，为相应设备供电</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传输系统采用4G/5G或者有线网络回传测量数据。</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水位监测系统功能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通过部署在</w:t>
      </w:r>
      <w:r>
        <w:rPr>
          <w:rFonts w:hint="default" w:asciiTheme="minorAscii" w:hAnsiTheme="minorAscii" w:eastAsiaTheme="minorEastAsia" w:cstheme="minorEastAsia"/>
          <w:sz w:val="24"/>
          <w:szCs w:val="24"/>
          <w:lang w:val="en-US" w:eastAsia="zh-CN"/>
        </w:rPr>
        <w:t>白龙湖重点部位的水位监测系统</w:t>
      </w:r>
      <w:r>
        <w:rPr>
          <w:rFonts w:hint="default" w:asciiTheme="minorAscii" w:hAnsiTheme="minorAscii" w:eastAsiaTheme="minorEastAsia" w:cstheme="minorEastAsia"/>
          <w:sz w:val="24"/>
          <w:szCs w:val="24"/>
        </w:rPr>
        <w:t>，实时</w:t>
      </w:r>
      <w:r>
        <w:rPr>
          <w:rFonts w:hint="default" w:asciiTheme="minorAscii" w:hAnsiTheme="minorAscii" w:eastAsiaTheme="minorEastAsia" w:cstheme="minorEastAsia"/>
          <w:sz w:val="24"/>
          <w:szCs w:val="24"/>
          <w:lang w:val="en-US" w:eastAsia="zh-CN"/>
        </w:rPr>
        <w:t>掌握水位情况</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10"/>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便携式</w:t>
      </w:r>
      <w:r>
        <w:rPr>
          <w:rFonts w:hint="default" w:asciiTheme="minorAscii" w:hAnsiTheme="minorAscii" w:eastAsiaTheme="minorEastAsia" w:cstheme="minorEastAsia"/>
          <w:kern w:val="21"/>
          <w:sz w:val="24"/>
          <w:szCs w:val="24"/>
        </w:rPr>
        <w:t>超声波</w:t>
      </w:r>
      <w:r>
        <w:rPr>
          <w:rFonts w:hint="default" w:asciiTheme="minorAscii" w:hAnsiTheme="minorAscii" w:eastAsiaTheme="minorEastAsia" w:cstheme="minorEastAsia"/>
          <w:kern w:val="21"/>
          <w:sz w:val="24"/>
          <w:szCs w:val="24"/>
          <w:lang w:val="en-US" w:eastAsia="zh-CN"/>
        </w:rPr>
        <w:t>测距仪</w:t>
      </w:r>
      <w:r>
        <w:rPr>
          <w:rFonts w:hint="default" w:asciiTheme="minorAscii" w:hAnsiTheme="minorAscii" w:eastAsiaTheme="minorEastAsia" w:cstheme="minorEastAsia"/>
          <w:sz w:val="24"/>
          <w:szCs w:val="24"/>
        </w:rPr>
        <w:t>具备 200 米和 100 米两种量程，可根据不同测量场景和需求灵活切换，满足从浅水区域到深水区域的水位测量要求</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同时测量精度不大于±0.5％×量程；</w:t>
      </w:r>
    </w:p>
    <w:p>
      <w:pPr>
        <w:keepNext w:val="0"/>
        <w:keepLines w:val="0"/>
        <w:pageBreakBefore w:val="0"/>
        <w:widowControl w:val="0"/>
        <w:numPr>
          <w:ilvl w:val="0"/>
          <w:numId w:val="10"/>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便携式</w:t>
      </w:r>
      <w:r>
        <w:rPr>
          <w:rFonts w:hint="default" w:asciiTheme="minorAscii" w:hAnsiTheme="minorAscii" w:eastAsiaTheme="minorEastAsia" w:cstheme="minorEastAsia"/>
          <w:kern w:val="21"/>
          <w:sz w:val="24"/>
          <w:szCs w:val="24"/>
        </w:rPr>
        <w:t>超声波</w:t>
      </w:r>
      <w:r>
        <w:rPr>
          <w:rFonts w:hint="default" w:asciiTheme="minorAscii" w:hAnsiTheme="minorAscii" w:eastAsiaTheme="minorEastAsia" w:cstheme="minorEastAsia"/>
          <w:kern w:val="21"/>
          <w:sz w:val="24"/>
          <w:szCs w:val="24"/>
          <w:lang w:val="en-US" w:eastAsia="zh-CN"/>
        </w:rPr>
        <w:t>测距仪具备</w:t>
      </w:r>
      <w:r>
        <w:rPr>
          <w:rFonts w:hint="default" w:asciiTheme="minorAscii" w:hAnsiTheme="minorAscii" w:eastAsiaTheme="minorEastAsia" w:cstheme="minorEastAsia"/>
          <w:sz w:val="24"/>
          <w:szCs w:val="24"/>
        </w:rPr>
        <w:t>自动检测盲区，有效避免因盲区导致的测量误差，确保在各种测量环境下都能获取准确可靠的水位数据</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0"/>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雷达液位计测量范围满足 0.5 - 70m 的要求；</w:t>
      </w:r>
    </w:p>
    <w:p>
      <w:pPr>
        <w:keepNext w:val="0"/>
        <w:keepLines w:val="0"/>
        <w:pageBreakBefore w:val="0"/>
        <w:widowControl w:val="0"/>
        <w:numPr>
          <w:ilvl w:val="0"/>
          <w:numId w:val="10"/>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便携式</w:t>
      </w:r>
      <w:r>
        <w:rPr>
          <w:rFonts w:hint="default" w:asciiTheme="minorAscii" w:hAnsiTheme="minorAscii" w:eastAsiaTheme="minorEastAsia" w:cstheme="minorEastAsia"/>
          <w:kern w:val="21"/>
          <w:sz w:val="24"/>
          <w:szCs w:val="24"/>
        </w:rPr>
        <w:t>超声波</w:t>
      </w:r>
      <w:r>
        <w:rPr>
          <w:rFonts w:hint="default" w:asciiTheme="minorAscii" w:hAnsiTheme="minorAscii" w:eastAsiaTheme="minorEastAsia" w:cstheme="minorEastAsia"/>
          <w:kern w:val="21"/>
          <w:sz w:val="24"/>
          <w:szCs w:val="24"/>
          <w:lang w:val="en-US" w:eastAsia="zh-CN"/>
        </w:rPr>
        <w:t>测距仪工作温度范围满足</w:t>
      </w:r>
      <w:r>
        <w:rPr>
          <w:rFonts w:hint="default" w:asciiTheme="minorAscii" w:hAnsiTheme="minorAscii" w:eastAsiaTheme="minorEastAsia" w:cstheme="minorEastAsia"/>
          <w:sz w:val="24"/>
          <w:szCs w:val="24"/>
          <w:lang w:val="en-US" w:eastAsia="zh-CN"/>
        </w:rPr>
        <w:t>0℃～99℃，雷达液位计</w:t>
      </w:r>
      <w:r>
        <w:rPr>
          <w:rFonts w:hint="default" w:asciiTheme="minorAscii" w:hAnsiTheme="minorAscii" w:eastAsiaTheme="minorEastAsia" w:cstheme="minorEastAsia"/>
          <w:kern w:val="21"/>
          <w:sz w:val="24"/>
          <w:szCs w:val="24"/>
          <w:lang w:val="en-US" w:eastAsia="zh-CN"/>
        </w:rPr>
        <w:t>工作温度范围满足</w:t>
      </w:r>
      <w:r>
        <w:rPr>
          <w:rFonts w:hint="default" w:asciiTheme="minorAscii" w:hAnsiTheme="minorAscii" w:eastAsiaTheme="minorEastAsia" w:cstheme="minorEastAsia"/>
          <w:sz w:val="24"/>
          <w:szCs w:val="24"/>
          <w:lang w:val="en-US" w:eastAsia="zh-CN"/>
        </w:rPr>
        <w:t>-40～100℃，满足白龙湖风景名胜区全年温度变化范围；</w:t>
      </w:r>
    </w:p>
    <w:p>
      <w:pPr>
        <w:keepNext w:val="0"/>
        <w:keepLines w:val="0"/>
        <w:pageBreakBefore w:val="0"/>
        <w:widowControl w:val="0"/>
        <w:numPr>
          <w:ilvl w:val="0"/>
          <w:numId w:val="10"/>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eastAsia="zh-CN"/>
        </w:rPr>
        <w:t>支持</w:t>
      </w:r>
      <w:r>
        <w:rPr>
          <w:rFonts w:hint="default" w:asciiTheme="minorAscii" w:hAnsiTheme="minorAscii" w:eastAsiaTheme="minorEastAsia" w:cstheme="minorEastAsia"/>
          <w:sz w:val="24"/>
          <w:szCs w:val="24"/>
        </w:rPr>
        <w:t xml:space="preserve"> 4G </w:t>
      </w:r>
      <w:r>
        <w:rPr>
          <w:rFonts w:hint="default" w:asciiTheme="minorAscii" w:hAnsiTheme="minorAscii" w:eastAsiaTheme="minorEastAsia" w:cstheme="minorEastAsia"/>
          <w:sz w:val="24"/>
          <w:szCs w:val="24"/>
          <w:lang w:val="en-US" w:eastAsia="zh-CN"/>
        </w:rPr>
        <w:t>/</w:t>
      </w:r>
      <w:r>
        <w:rPr>
          <w:rFonts w:hint="default" w:asciiTheme="minorAscii" w:hAnsiTheme="minorAscii" w:eastAsiaTheme="minorEastAsia" w:cstheme="minorEastAsia"/>
          <w:sz w:val="24"/>
          <w:szCs w:val="24"/>
        </w:rPr>
        <w:t xml:space="preserve"> 5G</w:t>
      </w:r>
      <w:r>
        <w:rPr>
          <w:rFonts w:hint="default" w:asciiTheme="minorAscii" w:hAnsiTheme="minorAscii" w:eastAsiaTheme="minorEastAsia" w:cstheme="minorEastAsia"/>
          <w:sz w:val="24"/>
          <w:szCs w:val="24"/>
          <w:lang w:val="en-US" w:eastAsia="zh-CN"/>
        </w:rPr>
        <w:t>或者有线</w:t>
      </w:r>
      <w:r>
        <w:rPr>
          <w:rFonts w:hint="default" w:asciiTheme="minorAscii" w:hAnsiTheme="minorAscii" w:eastAsiaTheme="minorEastAsia" w:cstheme="minorEastAsia"/>
          <w:sz w:val="24"/>
          <w:szCs w:val="24"/>
        </w:rPr>
        <w:t>网络传输</w:t>
      </w:r>
      <w:r>
        <w:rPr>
          <w:rFonts w:hint="default" w:asciiTheme="minorAscii" w:hAnsiTheme="minorAscii" w:eastAsiaTheme="minorEastAsia" w:cstheme="minorEastAsia"/>
          <w:sz w:val="24"/>
          <w:szCs w:val="24"/>
          <w:lang w:val="en-US" w:eastAsia="zh-CN"/>
        </w:rPr>
        <w:t>数据。</w:t>
      </w:r>
    </w:p>
    <w:p>
      <w:pPr>
        <w:pStyle w:val="8"/>
        <w:keepNext/>
        <w:keepLines/>
        <w:pageBreakBefore w:val="0"/>
        <w:widowControl w:val="0"/>
        <w:kinsoku/>
        <w:wordWrap/>
        <w:overflowPunct/>
        <w:topLinePunct w:val="0"/>
        <w:autoSpaceDE/>
        <w:autoSpaceDN/>
        <w:bidi w:val="0"/>
        <w:adjustRightInd/>
        <w:snapToGrid w:val="0"/>
        <w:spacing w:before="167" w:beforeLines="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联动检测-深水取样系统概述</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深水取样系统是一款集先进技术与多功能应用于一体的水下作业装备，能够适应多种复杂水下环境，为水下取样、生态监测、科考探索等提供高效、可靠的解决方案。</w:t>
      </w:r>
    </w:p>
    <w:p>
      <w:pPr>
        <w:pStyle w:val="8"/>
        <w:keepNext/>
        <w:keepLines/>
        <w:pageBreakBefore w:val="0"/>
        <w:widowControl w:val="0"/>
        <w:kinsoku/>
        <w:wordWrap/>
        <w:overflowPunct/>
        <w:topLinePunct w:val="0"/>
        <w:autoSpaceDE/>
        <w:autoSpaceDN/>
        <w:bidi w:val="0"/>
        <w:adjustRightInd/>
        <w:snapToGrid w:val="0"/>
        <w:spacing w:before="167" w:beforeLines="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“深水取样系统”构成</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深水取样系统由水下潜航器主机、带屏遥控器、岸上操作系统、机械手臂、打捞拉环、定距声呐、DVL、备用电池和辅助摄像头等组成。水下潜航器主机是整个系统的核心执行单元，集成了动力系统、控制系统、通信模块以及各类传感器接口。它具备自主航行能力，通过内置的智能算法和导航系统，能够按照预设路径或实时指令在水下稳定移动；带屏遥控器是操作人员与水下潜航器主机进行交互的重要工具；岸上操作系统是整个深水取样系统的指挥中枢，具备强大的数据处理和任务规划能力；机械手臂是水下潜航器主机执行抓取、操作等任务的关键部件；打捞拉环是专门为水下打捞作业设计的辅助工具，通常安装在机械手臂的末端或水下潜航器主机的特定位置；定距声呐主要用于测量水下潜航器主机与周围物体之间的距离；DVL利用多普勒效应测量水下潜航器主机运动速度和方向；水下定位系统用于确定水下潜航器主机在水下的精确位置；备用电池作为水下潜航器主机电力系统的补充，为深水取样系统在紧急情况或岸上供电系统出现故障时提供应急电力支持；辅助摄像头为水下潜航器主机提供了额外的视觉观察角度。</w:t>
      </w:r>
    </w:p>
    <w:p>
      <w:pPr>
        <w:pStyle w:val="8"/>
        <w:keepNext/>
        <w:keepLines/>
        <w:pageBreakBefore w:val="0"/>
        <w:widowControl w:val="0"/>
        <w:kinsoku/>
        <w:wordWrap/>
        <w:overflowPunct/>
        <w:topLinePunct w:val="0"/>
        <w:autoSpaceDE/>
        <w:autoSpaceDN/>
        <w:bidi w:val="0"/>
        <w:adjustRightInd/>
        <w:snapToGrid w:val="0"/>
        <w:spacing w:before="167" w:beforeLines="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“深水取样系统”功能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深水取样系统是一种高度集成化、功能强大的水下作业装备，能够满足复杂水下环境中水质取样等多种任务需求，具体功能如下：</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1）航速：≥3节（1.5m/s）；</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2）续航时长：常规使用≥90min，待机续航≥5h，机器连接上岸基供电设备，可持续工作；</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3）可实现360度全方位全自由度运动；</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4）在复杂水流环境下，能够有效抵抗水流冲击，保持稳定的航行姿态和作业位置；</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5）常规使用状态下，续航时间不少于 90 分钟，可满足一般水下作业的时间需求。待机续航时间长达 5 小时以上，为机器人在等待指令或进行长时间监测任务时提供了可靠的电力保障。当机器连接上岸基供电设备后，可实现持续工作，不受电池电量限制，大大拓展了作业的持续性和范围；</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6）摄像系统分辨率达到 4K 及以上，能够捕捉到水下清晰、细腻的图像和视频。具备边录像边拍照功能，方便操作人员同时记录动态过程和关键瞬间。缩时摄影和慢动作功能则为水下现象的观察和研究提供了更多视角和细节，有助于深入了解水下生态和作业情况；</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7）水下视场角达到 110°及以上，能够覆盖更广泛的水下区域，支持高清图像实时回传，让操作人员及时掌握水下情况；</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8）实时感知潜行主机的姿态、运动状态以及周围环境的温度、湿度等信息；</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9）具备水下精准定位；</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10）机械臂最大开口尺寸不低于 100mm，夹持力不低于 0.15KN，能够抓取和操作多种尺寸和重量的物体；</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11）配置打捞拉环，与机械臂配合使用，可实现高效的水下打捞作业；</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12）定距声呐具备定距防护功能，可对前下左右四个方向进行距离监测；防护等级达到 IP68 及以上，能够在恶劣的水下环境中稳定工作；</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13）具备远程操作、任务规划等功能；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14）可实现实时视频监控录像回传功能。</w:t>
      </w:r>
    </w:p>
    <w:p>
      <w:pPr>
        <w:pStyle w:val="8"/>
        <w:keepNext/>
        <w:keepLines/>
        <w:pageBreakBefore w:val="0"/>
        <w:widowControl w:val="0"/>
        <w:kinsoku/>
        <w:wordWrap/>
        <w:overflowPunct/>
        <w:topLinePunct w:val="0"/>
        <w:autoSpaceDE/>
        <w:autoSpaceDN/>
        <w:bidi w:val="0"/>
        <w:adjustRightInd/>
        <w:snapToGrid w:val="0"/>
        <w:spacing w:before="167" w:beforeLines="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固定式7参水质监测系统能耗及通信流量</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固定式7参监测站点-水质检测仪满载功耗35W，日工作时间24h；接入路由器满载功耗24W，日工作时间24h；全光谱水质监测探头闲时功耗10W、测量时功耗20W，日工作时间2h；户外防水网络音柱功耗30W，日均工作时间2h。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725"/>
        <w:gridCol w:w="3285"/>
        <w:gridCol w:w="685"/>
        <w:gridCol w:w="965"/>
        <w:gridCol w:w="555"/>
        <w:gridCol w:w="690"/>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trPr>
        <w:tc>
          <w:tcPr>
            <w:tcW w:w="49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72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328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65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245"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49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blHeader/>
        </w:trPr>
        <w:tc>
          <w:tcPr>
            <w:tcW w:w="49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72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328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49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510822-01-001</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i w:val="0"/>
                <w:iCs w:val="0"/>
                <w:color w:val="000000"/>
                <w:kern w:val="0"/>
                <w:sz w:val="18"/>
                <w:szCs w:val="18"/>
                <w:u w:val="none"/>
                <w:lang w:val="en-US" w:eastAsia="zh-CN" w:bidi="ar"/>
              </w:rPr>
              <w:t>白龙湖幸福岛</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510822-01-002</w:t>
            </w:r>
          </w:p>
        </w:tc>
        <w:tc>
          <w:tcPr>
            <w:tcW w:w="3285" w:type="dxa"/>
            <w:vAlign w:val="top"/>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水库汇入口</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510822-01-003</w:t>
            </w:r>
          </w:p>
        </w:tc>
        <w:tc>
          <w:tcPr>
            <w:tcW w:w="3285" w:type="dxa"/>
            <w:vAlign w:val="top"/>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风景区水源流出</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510822-01-004</w:t>
            </w:r>
          </w:p>
        </w:tc>
        <w:tc>
          <w:tcPr>
            <w:tcW w:w="3285" w:type="dxa"/>
            <w:vAlign w:val="top"/>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飞凤码头</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510822-01-005</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宝珠寺饮用水源地取水口2000m</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510822-01-006</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宝珠寺饮用水源地取水口5000m</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510822-02-001</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骑马乡污水处理厂下游200米</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510822-02-002</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木鱼镇污水处理厂下游200米</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510822-02-003</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沙州镇2号污水处理厂下游200米</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510822-02-004</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沙州镇3号污水处理厂下游200米</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510822-02-005</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青川县姚渡镇污水处理厂下游200米</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12</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510822-02-006</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营盘乡污水处理厂下游200米</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13</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510822-02-007</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金洞污水处理厂下游200米</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14</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510822-02-008</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团结桥上游侧排污口下游200米</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15</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510822-02-010</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井田村污水处理厂下游200米</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16</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510822-02-011</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柏树坝大桥支流汇入口</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17</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510822-02-012</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周家院支流汇入</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18</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510822-02-013</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居民生活聚集地</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19</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510822-02-014</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居民生活聚集地</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20</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510822-02-015</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张家沟支流汇入</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21</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510822-02-016</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金山寺村支流汇入</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22</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510822-02-017</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洛阳河汇入口</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23</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510822-02-018</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龙洞河汇入口</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24</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510822-02-019</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干溪河汇入口</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25</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510822-02-020</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顺江河流汇入</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26</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510822-02-021</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宝珠支流汇入</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27</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510822-02-022</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青核电站旁河流汇入</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28</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510822-02-023</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苍溪支流汇入口</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29</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510822-02-024</w:t>
            </w:r>
          </w:p>
        </w:tc>
        <w:tc>
          <w:tcPr>
            <w:tcW w:w="328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山水欢歌汇入口</w:t>
            </w:r>
          </w:p>
        </w:tc>
        <w:tc>
          <w:tcPr>
            <w:tcW w:w="68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109</w:t>
            </w:r>
          </w:p>
        </w:tc>
        <w:tc>
          <w:tcPr>
            <w:tcW w:w="9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1736</w:t>
            </w:r>
          </w:p>
        </w:tc>
        <w:tc>
          <w:tcPr>
            <w:tcW w:w="5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96</w:t>
            </w:r>
          </w:p>
        </w:tc>
        <w:tc>
          <w:tcPr>
            <w:tcW w:w="495" w:type="dxa"/>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pStyle w:val="8"/>
        <w:keepNext/>
        <w:keepLines/>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1"/>
          <w:szCs w:val="21"/>
          <w:lang w:val="en-US" w:eastAsia="zh-CN"/>
        </w:rPr>
      </w:pPr>
      <w:r>
        <w:rPr>
          <w:rFonts w:hint="default" w:asciiTheme="minorAscii" w:hAnsiTheme="minorAscii" w:eastAsiaTheme="minorEastAsia" w:cstheme="minorEastAsia"/>
          <w:sz w:val="21"/>
          <w:szCs w:val="21"/>
          <w:lang w:val="en-US" w:eastAsia="zh-CN"/>
        </w:rPr>
        <w:t>气象及空气质量监测系统能耗及通信流量</w:t>
      </w:r>
    </w:p>
    <w:p>
      <w:pPr>
        <w:bidi w:val="0"/>
        <w:rPr>
          <w:rFonts w:hint="default" w:asciiTheme="minorAscii" w:hAnsiTheme="minorAscii" w:eastAsiaTheme="minorEastAsia" w:cstheme="minorEastAsia"/>
          <w:sz w:val="21"/>
          <w:szCs w:val="21"/>
          <w:lang w:val="en-US" w:eastAsia="zh-CN"/>
        </w:rPr>
      </w:pPr>
      <w:r>
        <w:rPr>
          <w:rFonts w:hint="default" w:asciiTheme="minorAscii" w:hAnsiTheme="minorAscii" w:eastAsiaTheme="minorEastAsia" w:cstheme="minorEastAsia"/>
          <w:sz w:val="21"/>
          <w:szCs w:val="21"/>
          <w:lang w:val="en-US" w:eastAsia="zh-CN"/>
        </w:rPr>
        <w:t>气象及空气质量监测站满载功耗10W，日工作时间24h。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755"/>
        <w:gridCol w:w="3123"/>
        <w:gridCol w:w="760"/>
        <w:gridCol w:w="662"/>
        <w:gridCol w:w="789"/>
        <w:gridCol w:w="831"/>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1"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75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3123"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422"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62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48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1"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75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3123"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76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66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8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83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48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9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7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510822-01-001</w:t>
            </w:r>
          </w:p>
        </w:tc>
        <w:tc>
          <w:tcPr>
            <w:tcW w:w="3123"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白龙湖幸福岛</w:t>
            </w:r>
          </w:p>
        </w:tc>
        <w:tc>
          <w:tcPr>
            <w:tcW w:w="76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10</w:t>
            </w:r>
          </w:p>
        </w:tc>
        <w:tc>
          <w:tcPr>
            <w:tcW w:w="66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240</w:t>
            </w:r>
          </w:p>
        </w:tc>
        <w:tc>
          <w:tcPr>
            <w:tcW w:w="78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w:t>
            </w:r>
          </w:p>
        </w:tc>
        <w:tc>
          <w:tcPr>
            <w:tcW w:w="83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0.04</w:t>
            </w:r>
          </w:p>
        </w:tc>
        <w:tc>
          <w:tcPr>
            <w:tcW w:w="4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9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7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rPr>
              <w:t>510822-01-004</w:t>
            </w:r>
          </w:p>
        </w:tc>
        <w:tc>
          <w:tcPr>
            <w:tcW w:w="3123"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rPr>
              <w:t>飞凤</w:t>
            </w:r>
            <w:r>
              <w:rPr>
                <w:rFonts w:hint="default" w:asciiTheme="minorAscii" w:hAnsiTheme="minorAscii" w:eastAsiaTheme="minorEastAsia" w:cstheme="minorEastAsia"/>
                <w:sz w:val="18"/>
                <w:szCs w:val="18"/>
                <w:highlight w:val="none"/>
                <w:lang w:val="en-US" w:eastAsia="zh-CN"/>
              </w:rPr>
              <w:t>码头</w:t>
            </w:r>
          </w:p>
        </w:tc>
        <w:tc>
          <w:tcPr>
            <w:tcW w:w="76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w:t>
            </w:r>
          </w:p>
        </w:tc>
        <w:tc>
          <w:tcPr>
            <w:tcW w:w="66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240</w:t>
            </w:r>
          </w:p>
        </w:tc>
        <w:tc>
          <w:tcPr>
            <w:tcW w:w="78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c>
          <w:tcPr>
            <w:tcW w:w="83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0.04</w:t>
            </w:r>
          </w:p>
        </w:tc>
        <w:tc>
          <w:tcPr>
            <w:tcW w:w="48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pStyle w:val="8"/>
        <w:keepNext/>
        <w:keepLines/>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水位监测系统能耗及通信流量</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水位监测站满载功耗9W，日工作时间24h。接入路由器满载功耗24W，日工作时间24h。户外防水网络音柱功耗30W，日均工作时间2h。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2646"/>
        <w:gridCol w:w="756"/>
        <w:gridCol w:w="768"/>
        <w:gridCol w:w="756"/>
        <w:gridCol w:w="755"/>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trPr>
        <w:tc>
          <w:tcPr>
            <w:tcW w:w="648"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264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524"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356"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732"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trPr>
        <w:tc>
          <w:tcPr>
            <w:tcW w:w="648"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38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264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GB/m</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rPr>
              <w:t>510822-09-001</w:t>
            </w:r>
          </w:p>
        </w:tc>
        <w:tc>
          <w:tcPr>
            <w:tcW w:w="2646"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color w:val="000000"/>
                <w:sz w:val="18"/>
                <w:szCs w:val="18"/>
                <w:highlight w:val="none"/>
              </w:rPr>
              <w:t>白水关水位监测站</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63</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852</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3GB</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1386" w:type="dxa"/>
            <w:shd w:val="clear" w:color="auto" w:fill="auto"/>
            <w:vAlign w:val="center"/>
          </w:tcPr>
          <w:p>
            <w:pPr>
              <w:adjustRightInd w:val="0"/>
              <w:snapToGrid/>
              <w:spacing w:line="240" w:lineRule="exact"/>
              <w:ind w:firstLine="0" w:firstLineChars="0"/>
              <w:jc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highlight w:val="none"/>
              </w:rPr>
              <w:t>510822-09-002</w:t>
            </w:r>
          </w:p>
        </w:tc>
        <w:tc>
          <w:tcPr>
            <w:tcW w:w="2646"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color w:val="000000"/>
                <w:sz w:val="18"/>
                <w:szCs w:val="18"/>
                <w:highlight w:val="none"/>
              </w:rPr>
              <w:t>小三峡水位监测站</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63</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852</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3GB</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pStyle w:val="8"/>
        <w:keepNext/>
        <w:keepLines/>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建设点位</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本项目共计在白龙湖风景名胜区建设29套固定式7参水质监测站，详细点位清单见下表：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1573"/>
        <w:gridCol w:w="1533"/>
        <w:gridCol w:w="1419"/>
        <w:gridCol w:w="99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blHeader/>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highlight w:val="none"/>
                <w:vertAlign w:val="baseline"/>
                <w:lang w:val="en-US" w:eastAsia="zh-CN"/>
              </w:rPr>
            </w:pPr>
            <w:r>
              <w:rPr>
                <w:rFonts w:hint="default" w:asciiTheme="minorAscii" w:hAnsiTheme="minorAscii" w:eastAsiaTheme="minorEastAsia" w:cstheme="minorEastAsia"/>
                <w:b/>
                <w:bCs/>
                <w:color w:val="auto"/>
                <w:sz w:val="18"/>
                <w:szCs w:val="18"/>
                <w:highlight w:val="none"/>
                <w:vertAlign w:val="baseline"/>
                <w:lang w:val="en-US" w:eastAsia="zh-CN"/>
              </w:rPr>
              <w:t>序号</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highlight w:val="none"/>
                <w:vertAlign w:val="baseline"/>
                <w:lang w:val="en-US" w:eastAsia="zh-CN"/>
              </w:rPr>
            </w:pPr>
            <w:r>
              <w:rPr>
                <w:rFonts w:hint="default" w:asciiTheme="minorAscii" w:hAnsiTheme="minorAscii" w:eastAsiaTheme="minorEastAsia" w:cstheme="minorEastAsia"/>
                <w:b/>
                <w:bCs/>
                <w:color w:val="auto"/>
                <w:sz w:val="18"/>
                <w:szCs w:val="18"/>
                <w:highlight w:val="none"/>
                <w:vertAlign w:val="baseline"/>
                <w:lang w:val="en-US" w:eastAsia="zh-CN"/>
              </w:rPr>
              <w:t>编号</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highlight w:val="none"/>
                <w:vertAlign w:val="baseline"/>
                <w:lang w:val="en-US" w:eastAsia="zh-CN"/>
              </w:rPr>
            </w:pPr>
            <w:r>
              <w:rPr>
                <w:rFonts w:hint="default" w:asciiTheme="minorAscii" w:hAnsiTheme="minorAscii" w:eastAsiaTheme="minorEastAsia" w:cstheme="minorEastAsia"/>
                <w:b/>
                <w:bCs/>
                <w:color w:val="auto"/>
                <w:sz w:val="18"/>
                <w:szCs w:val="18"/>
                <w:highlight w:val="none"/>
                <w:vertAlign w:val="baseline"/>
                <w:lang w:val="en-US" w:eastAsia="zh-CN"/>
              </w:rPr>
              <w:t>监测站点名称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highlight w:val="none"/>
                <w:vertAlign w:val="baseline"/>
                <w:lang w:val="en-US" w:eastAsia="zh-CN"/>
              </w:rPr>
            </w:pPr>
            <w:r>
              <w:rPr>
                <w:rFonts w:hint="default" w:asciiTheme="minorAscii" w:hAnsiTheme="minorAscii" w:eastAsiaTheme="minorEastAsia" w:cstheme="minorEastAsia"/>
                <w:b/>
                <w:bCs/>
                <w:color w:val="auto"/>
                <w:sz w:val="18"/>
                <w:szCs w:val="18"/>
                <w:highlight w:val="none"/>
                <w:vertAlign w:val="baseline"/>
                <w:lang w:val="en-US" w:eastAsia="zh-CN"/>
              </w:rPr>
              <w:t>经度</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highlight w:val="none"/>
                <w:vertAlign w:val="baseline"/>
                <w:lang w:val="en-US" w:eastAsia="zh-CN"/>
              </w:rPr>
            </w:pPr>
            <w:r>
              <w:rPr>
                <w:rFonts w:hint="default" w:asciiTheme="minorAscii" w:hAnsiTheme="minorAscii" w:eastAsiaTheme="minorEastAsia" w:cstheme="minorEastAsia"/>
                <w:b/>
                <w:bCs/>
                <w:color w:val="auto"/>
                <w:sz w:val="18"/>
                <w:szCs w:val="18"/>
                <w:highlight w:val="none"/>
                <w:vertAlign w:val="baseline"/>
                <w:lang w:val="en-US" w:eastAsia="zh-CN"/>
              </w:rPr>
              <w:t>纬度</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highlight w:val="none"/>
                <w:vertAlign w:val="baseline"/>
                <w:lang w:val="en-US" w:eastAsia="zh-CN"/>
              </w:rPr>
            </w:pPr>
            <w:r>
              <w:rPr>
                <w:rFonts w:hint="default" w:asciiTheme="minorAscii" w:hAnsiTheme="minorAscii" w:eastAsiaTheme="minorEastAsia" w:cstheme="minorEastAsia"/>
                <w:b/>
                <w:bCs/>
                <w:color w:val="auto"/>
                <w:sz w:val="18"/>
                <w:szCs w:val="18"/>
                <w:highlight w:val="none"/>
                <w:vertAlign w:val="baseline"/>
                <w:lang w:val="en-US" w:eastAsia="zh-CN"/>
              </w:rPr>
              <w:t>监测分类（大类）</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highlight w:val="none"/>
                <w:vertAlign w:val="baseline"/>
                <w:lang w:val="en-US" w:eastAsia="zh-CN"/>
              </w:rPr>
            </w:pPr>
            <w:r>
              <w:rPr>
                <w:rFonts w:hint="default" w:asciiTheme="minorAscii" w:hAnsiTheme="minorAscii" w:eastAsiaTheme="minorEastAsia" w:cstheme="minorEastAsia"/>
                <w:b/>
                <w:bCs/>
                <w:color w:val="auto"/>
                <w:sz w:val="18"/>
                <w:szCs w:val="18"/>
                <w:highlight w:val="none"/>
                <w:vertAlign w:val="baseline"/>
                <w:lang w:val="en-US" w:eastAsia="zh-CN"/>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510822-01-001</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i w:val="0"/>
                <w:iCs w:val="0"/>
                <w:color w:val="auto"/>
                <w:kern w:val="0"/>
                <w:sz w:val="18"/>
                <w:szCs w:val="18"/>
                <w:highlight w:val="none"/>
                <w:u w:val="none"/>
                <w:lang w:val="en-US" w:eastAsia="zh-CN" w:bidi="ar"/>
              </w:rPr>
              <w:t>白龙湖幸福岛</w:t>
            </w:r>
          </w:p>
        </w:tc>
        <w:tc>
          <w:tcPr>
            <w:tcW w:w="137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lang w:val="en-US" w:eastAsia="zh-CN"/>
              </w:rPr>
            </w:pPr>
            <w:r>
              <w:rPr>
                <w:rFonts w:hint="default" w:asciiTheme="minorAscii" w:hAnsiTheme="minorAscii" w:eastAsiaTheme="minorEastAsia" w:cstheme="minorEastAsia"/>
                <w:color w:val="auto"/>
                <w:sz w:val="18"/>
                <w:szCs w:val="18"/>
                <w:highlight w:val="none"/>
                <w:lang w:val="en-US" w:eastAsia="zh-CN"/>
              </w:rPr>
              <w:t>105.44138133</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lang w:val="en-US" w:eastAsia="zh-CN"/>
              </w:rPr>
            </w:pPr>
            <w:r>
              <w:rPr>
                <w:rFonts w:hint="default" w:asciiTheme="minorAscii" w:hAnsiTheme="minorAscii" w:eastAsiaTheme="minorEastAsia" w:cstheme="minorEastAsia"/>
                <w:color w:val="auto"/>
                <w:sz w:val="18"/>
                <w:szCs w:val="18"/>
                <w:highlight w:val="none"/>
                <w:lang w:val="en-US" w:eastAsia="zh-CN"/>
              </w:rPr>
              <w:t>32.65264190</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取水断面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2</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510822-01-002</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水库汇入口</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105.50473241</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32.69837696</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510822-01-003</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风景区水源流出</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105.64895548</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32.42162456</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区域划分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4</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510822-01-004</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飞凤码头</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105.59772130</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32.51881848</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船泊码头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510822-01-005</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宝珠寺饮用水源地取水口2000m</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105.60333093</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32.53743051</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区域划分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6</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510822-01-006</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宝珠寺饮用水源地取水口5000m</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105.56425854</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32.54701555</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rPr>
              <w:t>区域划分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7</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510822-02-001</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骑马乡污水处理厂下游200米</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105.41101883</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32.59761297</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排口</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8</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510822-02-002</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木鱼镇污水处理厂下游200米</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105.41723011</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32.63104568</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排口</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9</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510822-02-003</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pacing w:val="-6"/>
                <w:sz w:val="18"/>
                <w:szCs w:val="18"/>
                <w:highlight w:val="none"/>
                <w:vertAlign w:val="baseline"/>
                <w:lang w:val="en-US" w:eastAsia="zh-CN"/>
              </w:rPr>
              <w:t>沙州镇2号污水处理厂下游200</w:t>
            </w:r>
            <w:r>
              <w:rPr>
                <w:rFonts w:hint="default" w:asciiTheme="minorAscii" w:hAnsiTheme="minorAscii" w:eastAsiaTheme="minorEastAsia" w:cstheme="minorEastAsia"/>
                <w:color w:val="auto"/>
                <w:sz w:val="18"/>
                <w:szCs w:val="18"/>
                <w:highlight w:val="none"/>
                <w:vertAlign w:val="baseline"/>
                <w:lang w:val="en-US" w:eastAsia="zh-CN"/>
              </w:rPr>
              <w:t>米</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105.48951386</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32.67273230</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排口</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510822-02-004</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沙州镇3号污水处理厂下游200米</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105.48610752</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32.67566392</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排口</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11</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510822-02-005</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青川县姚渡镇污水处理厂下游200米</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105.43478694</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32.77444099</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排口</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12</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510822-02-006</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营盘乡污水处理厂下游200米</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105.51219865</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32.67695650</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排口</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13</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510822-02-007</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金洞污水处理厂下游200米</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105.55883582</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32.60617631</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排口</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14</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510822-02-008</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团结桥上游侧排污口下游200米</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105.61850282</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32.49592347</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排口</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15</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510822-02-010</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井田村污水处理厂下游200米</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105.63775273</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32.48082833</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16</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510822-02-011</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柏树坝大桥支流汇入口</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105.43785925</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32.64208998</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17</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510822-02-012</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周家院支流汇入</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105.43969927</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32.77555589</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18</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510822-02-013</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居民生活聚集地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105.45839315</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32.75197114</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生活聚集地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19</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510822-02-014</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居民生活聚集地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105.50229257</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32.73758852</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生活聚集地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20</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510822-02-015</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张家沟支流汇入</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105.55046388</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32.71227602</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21</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510822-02-016</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金山寺村支流汇入</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105.57844301</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32.72415175</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22</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510822-02-017</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洛阳河汇入口</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105.55645185</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32.61058163</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23</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510822-02-018</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龙洞河汇入口</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105.53235919</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32.56705982</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24</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510822-02-019</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干溪河汇入口</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105.54951725</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32.53651080</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25</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510822-02-020</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顺江河流汇入</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105.61201147</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32.53296607</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26</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510822-02-021</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宝珠支流汇入</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105.61203641</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32.51444021</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27</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510822-02-022</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青核电站旁河流汇入</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105.61619718</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32.49449408</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28</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510822-02-023</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苍溪支流汇入口</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105.63689447</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32.44806550</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kern w:val="2"/>
                <w:sz w:val="18"/>
                <w:szCs w:val="18"/>
                <w:highlight w:val="none"/>
                <w:vertAlign w:val="baseline"/>
                <w:lang w:val="en-US" w:eastAsia="zh-CN" w:bidi="ar-SA"/>
              </w:rPr>
            </w:pPr>
            <w:r>
              <w:rPr>
                <w:rFonts w:hint="default" w:asciiTheme="minorAscii" w:hAnsiTheme="minorAscii" w:eastAsiaTheme="minorEastAsia" w:cstheme="minorEastAsia"/>
                <w:color w:val="auto"/>
                <w:sz w:val="18"/>
                <w:szCs w:val="18"/>
                <w:highlight w:val="none"/>
                <w:vertAlign w:val="baseline"/>
                <w:lang w:val="en-US" w:eastAsia="zh-CN"/>
              </w:rPr>
              <w:t>29</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510822-02-024</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山水欢歌汇入口</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105.64347537</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32.42512546</w:t>
            </w:r>
          </w:p>
        </w:tc>
        <w:tc>
          <w:tcPr>
            <w:tcW w:w="99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bl>
    <w:p>
      <w:pPr>
        <w:keepNext w:val="0"/>
        <w:keepLines w:val="0"/>
        <w:pageBreakBefore w:val="0"/>
        <w:widowControl w:val="0"/>
        <w:kinsoku/>
        <w:wordWrap/>
        <w:overflowPunct/>
        <w:topLinePunct w:val="0"/>
        <w:autoSpaceDE/>
        <w:autoSpaceDN/>
        <w:bidi w:val="0"/>
        <w:adjustRightInd/>
        <w:snapToGrid/>
        <w:spacing w:before="167" w:beforeLines="50" w:after="84" w:afterLines="2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本项目共计在2处固定式7参水质监测站点联动监测气象及空气质量，详细点位清单见下表：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1573"/>
        <w:gridCol w:w="1533"/>
        <w:gridCol w:w="1419"/>
        <w:gridCol w:w="1015"/>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经度</w:t>
            </w:r>
          </w:p>
        </w:tc>
        <w:tc>
          <w:tcPr>
            <w:tcW w:w="12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纬度</w:t>
            </w:r>
          </w:p>
        </w:tc>
        <w:tc>
          <w:tcPr>
            <w:tcW w:w="101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监测分类（大类）</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510822-01-001</w:t>
            </w:r>
          </w:p>
        </w:tc>
        <w:tc>
          <w:tcPr>
            <w:tcW w:w="1573"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白龙湖幸福岛</w:t>
            </w:r>
          </w:p>
        </w:tc>
        <w:tc>
          <w:tcPr>
            <w:tcW w:w="1372"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lang w:val="en-US" w:eastAsia="zh-CN"/>
              </w:rPr>
              <w:t>105.44138133</w:t>
            </w:r>
          </w:p>
        </w:tc>
        <w:tc>
          <w:tcPr>
            <w:tcW w:w="12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lang w:val="en-US" w:eastAsia="zh-CN"/>
              </w:rPr>
              <w:t>32.65264190</w:t>
            </w:r>
          </w:p>
        </w:tc>
        <w:tc>
          <w:tcPr>
            <w:tcW w:w="101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气象监测</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核心景区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510822-01-004</w:t>
            </w:r>
          </w:p>
        </w:tc>
        <w:tc>
          <w:tcPr>
            <w:tcW w:w="1573"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飞凤</w:t>
            </w:r>
            <w:r>
              <w:rPr>
                <w:rFonts w:hint="default" w:asciiTheme="minorAscii" w:hAnsiTheme="minorAscii" w:eastAsiaTheme="minorEastAsia" w:cstheme="minorEastAsia"/>
                <w:sz w:val="18"/>
                <w:szCs w:val="18"/>
                <w:highlight w:val="none"/>
                <w:lang w:val="en-US" w:eastAsia="zh-CN"/>
              </w:rPr>
              <w:t>码头</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105.59772130</w:t>
            </w:r>
          </w:p>
        </w:tc>
        <w:tc>
          <w:tcPr>
            <w:tcW w:w="126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32.51881848</w:t>
            </w:r>
          </w:p>
        </w:tc>
        <w:tc>
          <w:tcPr>
            <w:tcW w:w="101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气象监测</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核心景区</w:t>
            </w:r>
          </w:p>
        </w:tc>
      </w:tr>
    </w:tbl>
    <w:p>
      <w:pPr>
        <w:keepNext w:val="0"/>
        <w:keepLines w:val="0"/>
        <w:pageBreakBefore w:val="0"/>
        <w:widowControl w:val="0"/>
        <w:kinsoku/>
        <w:wordWrap/>
        <w:overflowPunct/>
        <w:topLinePunct w:val="0"/>
        <w:autoSpaceDE/>
        <w:autoSpaceDN/>
        <w:bidi w:val="0"/>
        <w:adjustRightInd/>
        <w:snapToGrid w:val="0"/>
        <w:spacing w:before="333" w:beforeLines="10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本项目共计在2处固定式7参水质监测站点联动监测水位变化，详细点位清单见下表：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1573"/>
        <w:gridCol w:w="1533"/>
        <w:gridCol w:w="1419"/>
        <w:gridCol w:w="999"/>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经度</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纬度</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监测分类（大类）</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510822-09-001</w:t>
            </w:r>
          </w:p>
        </w:tc>
        <w:tc>
          <w:tcPr>
            <w:tcW w:w="1573"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白水关水位监测站</w:t>
            </w:r>
          </w:p>
        </w:tc>
        <w:tc>
          <w:tcPr>
            <w:tcW w:w="137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105.52155013 </w:t>
            </w:r>
          </w:p>
        </w:tc>
        <w:tc>
          <w:tcPr>
            <w:tcW w:w="1284"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32.69074063 </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水位监测</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关键点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510822-09-002</w:t>
            </w:r>
          </w:p>
        </w:tc>
        <w:tc>
          <w:tcPr>
            <w:tcW w:w="1573"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小三峡水位监测站</w:t>
            </w:r>
          </w:p>
        </w:tc>
        <w:tc>
          <w:tcPr>
            <w:tcW w:w="137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105.56015756 </w:t>
            </w:r>
          </w:p>
        </w:tc>
        <w:tc>
          <w:tcPr>
            <w:tcW w:w="1284"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32.56103044 </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水位监测</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关键点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trPr>
        <w:tc>
          <w:tcPr>
            <w:tcW w:w="8279" w:type="dxa"/>
            <w:gridSpan w:val="7"/>
            <w:tcBorders>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spacing w:before="120" w:line="360" w:lineRule="auto"/>
              <w:ind w:firstLine="480" w:firstLineChars="20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本项目共计在1处固定式7参水质监测站点联动深水取样系统，可通过车船运输实现白龙湖全域水质分层取样。平常部署在飞凤码头监测点。</w:t>
            </w:r>
          </w:p>
        </w:tc>
      </w:tr>
    </w:tbl>
    <w:p>
      <w:pPr>
        <w:pStyle w:val="8"/>
        <w:keepNext/>
        <w:keepLines/>
        <w:pageBreakBefore w:val="0"/>
        <w:widowControl w:val="0"/>
        <w:kinsoku/>
        <w:wordWrap/>
        <w:overflowPunct/>
        <w:topLinePunct w:val="0"/>
        <w:autoSpaceDE/>
        <w:autoSpaceDN/>
        <w:bidi w:val="0"/>
        <w:adjustRightInd/>
        <w:snapToGrid w:val="0"/>
        <w:spacing w:before="499" w:beforeLines="1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配置清单</w:t>
      </w:r>
    </w:p>
    <w:tbl>
      <w:tblPr>
        <w:tblStyle w:val="19"/>
        <w:tblW w:w="8990"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378"/>
        <w:gridCol w:w="792"/>
        <w:gridCol w:w="666"/>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blHeader/>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固定式7参监测站点-水质检测仪1</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24</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部署地址详见点位清单。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vertAlign w:val="baseline"/>
                <w:lang w:val="en-US" w:eastAsia="zh-CN"/>
              </w:rPr>
              <w:t>固定式7参监测站点-水质检测仪2</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部署地址详见点位清单。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vertAlign w:val="baseline"/>
                <w:lang w:val="en-US" w:eastAsia="zh-CN"/>
              </w:rPr>
              <w:t>固定式7参监测站点-水质检测仪3</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部署地址详见点位清单。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val="0"/>
                <w:bCs w:val="0"/>
                <w:sz w:val="18"/>
                <w:szCs w:val="18"/>
                <w:vertAlign w:val="baseline"/>
                <w:lang w:val="en-US" w:eastAsia="zh-CN"/>
              </w:rPr>
            </w:pPr>
            <w:r>
              <w:rPr>
                <w:rFonts w:hint="default" w:asciiTheme="minorAscii" w:hAnsiTheme="minorAscii" w:eastAsiaTheme="minorEastAsia" w:cstheme="minorEastAsia"/>
                <w:b w:val="0"/>
                <w:bCs w:val="0"/>
                <w:sz w:val="18"/>
                <w:szCs w:val="18"/>
                <w:vertAlign w:val="baseline"/>
                <w:lang w:val="en-US" w:eastAsia="zh-CN"/>
              </w:rPr>
              <w:t>4</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lang w:val="en-US" w:eastAsia="zh-CN" w:bidi="ar-SA"/>
              </w:rPr>
            </w:pPr>
            <w:r>
              <w:rPr>
                <w:rFonts w:hint="default" w:asciiTheme="minorAscii" w:hAnsiTheme="minorAscii" w:eastAsiaTheme="minorEastAsia" w:cstheme="minorEastAsia"/>
                <w:sz w:val="18"/>
                <w:szCs w:val="18"/>
                <w:vertAlign w:val="baseline"/>
                <w:lang w:val="en-US" w:eastAsia="zh-CN"/>
              </w:rPr>
              <w:t>固定式7参监测站点-水质检测仪4</w:t>
            </w:r>
          </w:p>
        </w:tc>
        <w:tc>
          <w:tcPr>
            <w:tcW w:w="79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6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43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部署地点：510822-01-004，飞凤码头。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5</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全光谱水质监测探头</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部署点位：510822-01-005，宝珠寺饮用水源地取水口2000m；510822-01-006，宝珠寺饮用水源地取水口5000m。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闪存卡</w:t>
            </w:r>
          </w:p>
        </w:tc>
        <w:tc>
          <w:tcPr>
            <w:tcW w:w="79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29</w:t>
            </w:r>
          </w:p>
        </w:tc>
        <w:tc>
          <w:tcPr>
            <w:tcW w:w="66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张</w:t>
            </w:r>
          </w:p>
        </w:tc>
        <w:tc>
          <w:tcPr>
            <w:tcW w:w="343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应急存储，保存时长2.5天以上。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户外防水网络音柱（30W）</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安装于储能柱上，详细设计见相关图纸。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lang w:val="en-US" w:eastAsia="zh-CN" w:bidi="ar-SA"/>
              </w:rPr>
            </w:pPr>
            <w:r>
              <w:rPr>
                <w:rFonts w:hint="default" w:asciiTheme="minorAscii" w:hAnsiTheme="minorAscii" w:eastAsiaTheme="minorEastAsia" w:cstheme="minorEastAsia"/>
                <w:sz w:val="18"/>
                <w:szCs w:val="18"/>
                <w:lang w:val="en-US" w:eastAsia="zh-CN"/>
              </w:rPr>
              <w:t>接入路由器</w:t>
            </w:r>
          </w:p>
        </w:tc>
        <w:tc>
          <w:tcPr>
            <w:tcW w:w="79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31</w:t>
            </w:r>
          </w:p>
        </w:tc>
        <w:tc>
          <w:tcPr>
            <w:tcW w:w="66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43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安装于柱（杆）挂设备箱内。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一体化风光储能柱（8.5m）</w:t>
            </w:r>
          </w:p>
        </w:tc>
        <w:tc>
          <w:tcPr>
            <w:tcW w:w="79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29</w:t>
            </w:r>
          </w:p>
        </w:tc>
        <w:tc>
          <w:tcPr>
            <w:tcW w:w="66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套</w:t>
            </w:r>
          </w:p>
        </w:tc>
        <w:tc>
          <w:tcPr>
            <w:tcW w:w="343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10</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一体化光储能柱（6.4m）</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11</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人员难以抵达的水质监测站配建辅助监测系统</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处</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pacing w:val="-6"/>
                <w:sz w:val="18"/>
                <w:szCs w:val="18"/>
                <w:vertAlign w:val="baseline"/>
                <w:lang w:val="en-US" w:eastAsia="zh-CN"/>
              </w:rPr>
            </w:pPr>
            <w:r>
              <w:rPr>
                <w:rFonts w:hint="default" w:asciiTheme="minorAscii" w:hAnsiTheme="minorAscii" w:eastAsiaTheme="minorEastAsia" w:cstheme="minorEastAsia"/>
                <w:spacing w:val="-6"/>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12</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辅助监测系统附属设施</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处</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pacing w:val="-6"/>
                <w:sz w:val="18"/>
                <w:szCs w:val="18"/>
                <w:vertAlign w:val="baseline"/>
                <w:lang w:val="en-US" w:eastAsia="zh-CN"/>
              </w:rPr>
            </w:pPr>
            <w:r>
              <w:rPr>
                <w:rFonts w:hint="default" w:asciiTheme="minorAscii" w:hAnsiTheme="minorAscii" w:eastAsiaTheme="minorEastAsia" w:cstheme="minorEastAsia"/>
                <w:spacing w:val="-6"/>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13</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抗落差浮球装置</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29</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14</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聚氨酯高柔性拖链屏蔽电缆</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2900</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pacing w:val="-6"/>
                <w:sz w:val="18"/>
                <w:szCs w:val="18"/>
                <w:vertAlign w:val="baseline"/>
                <w:lang w:val="en-US" w:eastAsia="zh-CN"/>
              </w:rPr>
            </w:pPr>
            <w:r>
              <w:rPr>
                <w:rFonts w:hint="default" w:asciiTheme="minorAscii" w:hAnsiTheme="minorAscii" w:eastAsiaTheme="minorEastAsia" w:cstheme="minorEastAsia"/>
                <w:spacing w:val="-6"/>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15</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设备侧电源线（3*1.5）</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930</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pacing w:val="-6"/>
                <w:sz w:val="18"/>
                <w:szCs w:val="18"/>
                <w:vertAlign w:val="baseline"/>
                <w:lang w:val="en-US" w:eastAsia="zh-CN"/>
              </w:rPr>
            </w:pPr>
            <w:r>
              <w:rPr>
                <w:rFonts w:hint="default" w:asciiTheme="minorAscii" w:hAnsiTheme="minorAscii" w:eastAsiaTheme="minorEastAsia" w:cstheme="minorEastAsia"/>
                <w:spacing w:val="-6"/>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16</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六类网线</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480</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pacing w:val="-6"/>
                <w:sz w:val="18"/>
                <w:szCs w:val="18"/>
                <w:vertAlign w:val="baseline"/>
                <w:lang w:val="en-US" w:eastAsia="zh-CN"/>
              </w:rPr>
            </w:pPr>
            <w:r>
              <w:rPr>
                <w:rFonts w:hint="default" w:asciiTheme="minorAscii" w:hAnsiTheme="minorAscii" w:eastAsiaTheme="minorEastAsia" w:cstheme="minorEastAsia"/>
                <w:spacing w:val="-6"/>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17</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RS485通讯电缆</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30</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pacing w:val="-6"/>
                <w:sz w:val="18"/>
                <w:szCs w:val="18"/>
                <w:vertAlign w:val="baseline"/>
                <w:lang w:val="en-US" w:eastAsia="zh-CN"/>
              </w:rPr>
            </w:pPr>
            <w:r>
              <w:rPr>
                <w:rFonts w:hint="default" w:asciiTheme="minorAscii" w:hAnsiTheme="minorAscii" w:eastAsiaTheme="minorEastAsia" w:cstheme="minorEastAsia"/>
                <w:spacing w:val="-6"/>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18</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横臂（6m）</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根</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19</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柱（杆）挂设备箱</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详细设计见相关图纸，详细描述详见分部分项工程量清单。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20</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地笼</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副</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21</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混凝土基础</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墩</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22</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防雷接地装置</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23</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手孔井</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24</w:t>
            </w:r>
          </w:p>
        </w:tc>
        <w:tc>
          <w:tcPr>
            <w:tcW w:w="337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固线架</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29</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副</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25</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地埋线缆保护管</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480</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m</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pacing w:val="-6"/>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26</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市电引入</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处</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沙州、盐井溪水质监测站点辅助监测系统用电。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27</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应急发电机（套装）</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pacing w:val="-6"/>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28</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辅材1</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项</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pacing w:val="-6"/>
                <w:sz w:val="18"/>
                <w:szCs w:val="18"/>
                <w:vertAlign w:val="baseline"/>
                <w:lang w:val="en-US" w:eastAsia="zh-CN"/>
              </w:rPr>
              <w:t>详细描述见分部分项工程量清单。</w:t>
            </w:r>
          </w:p>
        </w:tc>
      </w:tr>
    </w:tbl>
    <w:p>
      <w:pPr>
        <w:pStyle w:val="7"/>
        <w:keepNext/>
        <w:keepLines/>
        <w:pageBreakBefore w:val="0"/>
        <w:widowControl w:val="0"/>
        <w:kinsoku/>
        <w:wordWrap/>
        <w:overflowPunct/>
        <w:topLinePunct w:val="0"/>
        <w:autoSpaceDE/>
        <w:autoSpaceDN/>
        <w:bidi w:val="0"/>
        <w:adjustRightInd/>
        <w:snapToGrid w:val="0"/>
        <w:spacing w:before="499" w:beforeLines="15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浮标式7参水质监测站</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浮标式7参水质监测站</w:t>
      </w:r>
      <w:r>
        <w:rPr>
          <w:rFonts w:hint="default" w:asciiTheme="minorAscii" w:hAnsiTheme="minorAscii" w:eastAsiaTheme="minorEastAsia" w:cstheme="minorEastAsia"/>
          <w:sz w:val="24"/>
          <w:szCs w:val="24"/>
        </w:rPr>
        <w:t>是一种集成多参数传感器、数据采集与传输系统、供电与防护装置于一体的长期监测设备，</w:t>
      </w:r>
      <w:r>
        <w:rPr>
          <w:rFonts w:hint="default" w:asciiTheme="minorAscii" w:hAnsiTheme="minorAscii" w:eastAsiaTheme="minorEastAsia" w:cstheme="minorEastAsia"/>
          <w:sz w:val="24"/>
          <w:szCs w:val="24"/>
          <w:lang w:val="en-US" w:eastAsia="zh-CN"/>
        </w:rPr>
        <w:t>适用于固定式7参水质监测站无法安装的地段，具备抗风浪、水位落差大、无人值守等特性，</w:t>
      </w:r>
      <w:r>
        <w:rPr>
          <w:rFonts w:hint="default" w:asciiTheme="minorAscii" w:hAnsiTheme="minorAscii" w:eastAsiaTheme="minorEastAsia" w:cstheme="minorEastAsia"/>
          <w:sz w:val="24"/>
          <w:szCs w:val="24"/>
        </w:rPr>
        <w:t>实时监测流域内水体PH值、溶解氧（DO）等七种参数，全面评估水体健康状况，为污染溯源、生态修复及水资源管理提供数据支撑。</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系统构成</w:t>
      </w:r>
    </w:p>
    <w:p>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5273675" cy="2096770"/>
            <wp:effectExtent l="0" t="0" r="14605" b="635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12"/>
                    <a:stretch>
                      <a:fillRect/>
                    </a:stretch>
                  </pic:blipFill>
                  <pic:spPr>
                    <a:xfrm>
                      <a:off x="0" y="0"/>
                      <a:ext cx="5273675" cy="2096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before="333" w:beforeLines="100" w:after="333" w:afterLines="100"/>
        <w:ind w:left="0" w:leftChars="0" w:firstLine="0" w:firstLineChars="0"/>
        <w:jc w:val="center"/>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图10 浮标式7参水质监测站构成图</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浮标式7参</w:t>
      </w:r>
      <w:r>
        <w:rPr>
          <w:rFonts w:hint="default" w:asciiTheme="minorAscii" w:hAnsiTheme="minorAscii" w:eastAsiaTheme="minorEastAsia" w:cstheme="minorEastAsia"/>
          <w:sz w:val="24"/>
          <w:szCs w:val="24"/>
        </w:rPr>
        <w:t>水质监测站</w:t>
      </w:r>
      <w:r>
        <w:rPr>
          <w:rFonts w:hint="default" w:asciiTheme="minorAscii" w:hAnsiTheme="minorAscii" w:eastAsiaTheme="minorEastAsia" w:cstheme="minorEastAsia"/>
          <w:sz w:val="24"/>
          <w:szCs w:val="24"/>
          <w:lang w:val="en-US" w:eastAsia="zh-CN"/>
        </w:rPr>
        <w:t>由7参检测探头</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z w:val="24"/>
          <w:szCs w:val="24"/>
          <w:lang w:val="en-US" w:eastAsia="zh-CN"/>
        </w:rPr>
        <w:t>浮标体、</w:t>
      </w:r>
      <w:r>
        <w:rPr>
          <w:rFonts w:hint="default" w:asciiTheme="minorAscii" w:hAnsiTheme="minorAscii" w:eastAsiaTheme="minorEastAsia" w:cstheme="minorEastAsia"/>
          <w:sz w:val="24"/>
          <w:szCs w:val="24"/>
        </w:rPr>
        <w:t>供电系统</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等组成。</w:t>
      </w:r>
      <w:r>
        <w:rPr>
          <w:rFonts w:hint="default" w:asciiTheme="minorAscii" w:hAnsiTheme="minorAscii" w:eastAsiaTheme="minorEastAsia" w:cstheme="minorEastAsia"/>
          <w:sz w:val="24"/>
          <w:szCs w:val="24"/>
          <w:lang w:val="en-US" w:eastAsia="zh-CN"/>
        </w:rPr>
        <w:t>7参检测探头对水体进行</w:t>
      </w:r>
      <w:r>
        <w:rPr>
          <w:rFonts w:hint="default" w:asciiTheme="minorAscii" w:hAnsiTheme="minorAscii" w:eastAsiaTheme="minorEastAsia" w:cstheme="minorEastAsia"/>
          <w:sz w:val="24"/>
          <w:szCs w:val="24"/>
        </w:rPr>
        <w:t>常规</w:t>
      </w:r>
      <w:r>
        <w:rPr>
          <w:rFonts w:hint="default" w:asciiTheme="minorAscii" w:hAnsiTheme="minorAscii" w:eastAsiaTheme="minorEastAsia" w:cstheme="minorEastAsia"/>
          <w:sz w:val="24"/>
          <w:szCs w:val="24"/>
          <w:lang w:val="en-US" w:eastAsia="zh-CN"/>
        </w:rPr>
        <w:t>七</w:t>
      </w:r>
      <w:r>
        <w:rPr>
          <w:rFonts w:hint="default" w:asciiTheme="minorAscii" w:hAnsiTheme="minorAscii" w:eastAsiaTheme="minorEastAsia" w:cstheme="minorEastAsia"/>
          <w:sz w:val="24"/>
          <w:szCs w:val="24"/>
        </w:rPr>
        <w:t>参数</w:t>
      </w:r>
      <w:r>
        <w:rPr>
          <w:rFonts w:hint="default" w:asciiTheme="minorAscii" w:hAnsiTheme="minorAscii" w:eastAsiaTheme="minorEastAsia" w:cstheme="minorEastAsia"/>
          <w:sz w:val="24"/>
          <w:szCs w:val="24"/>
          <w:lang w:val="en-US" w:eastAsia="zh-CN"/>
        </w:rPr>
        <w:t>检测</w:t>
      </w:r>
      <w:r>
        <w:rPr>
          <w:rFonts w:hint="default" w:asciiTheme="minorAscii" w:hAnsiTheme="minorAscii" w:eastAsiaTheme="minorEastAsia" w:cstheme="minorEastAsia"/>
          <w:sz w:val="24"/>
          <w:szCs w:val="24"/>
        </w:rPr>
        <w:t>，实现数据</w:t>
      </w:r>
      <w:r>
        <w:rPr>
          <w:rFonts w:hint="default" w:asciiTheme="minorAscii" w:hAnsiTheme="minorAscii" w:eastAsiaTheme="minorEastAsia" w:cstheme="minorEastAsia"/>
          <w:sz w:val="24"/>
          <w:szCs w:val="24"/>
          <w:lang w:val="en-US" w:eastAsia="zh-CN"/>
        </w:rPr>
        <w:t>的分析；浮标体</w:t>
      </w:r>
      <w:r>
        <w:rPr>
          <w:rFonts w:hint="default" w:asciiTheme="minorAscii" w:hAnsiTheme="minorAscii" w:eastAsiaTheme="minorEastAsia" w:cstheme="minorEastAsia"/>
          <w:sz w:val="24"/>
          <w:szCs w:val="24"/>
        </w:rPr>
        <w:t>是整个监测系统的物理支撑与功能载体，具备防腐蚀与防生物附着、防雷与防撞、抗风浪、水位变化等特性</w:t>
      </w:r>
      <w:r>
        <w:rPr>
          <w:rFonts w:hint="default" w:asciiTheme="minorAscii" w:hAnsiTheme="minorAscii" w:eastAsiaTheme="minorEastAsia" w:cstheme="minorEastAsia"/>
          <w:sz w:val="24"/>
          <w:szCs w:val="24"/>
          <w:lang w:val="en-US" w:eastAsia="zh-CN"/>
        </w:rPr>
        <w:t>；</w:t>
      </w:r>
      <w:r>
        <w:rPr>
          <w:rFonts w:hint="default" w:asciiTheme="minorAscii" w:hAnsiTheme="minorAscii" w:eastAsiaTheme="minorEastAsia" w:cstheme="minorEastAsia"/>
          <w:sz w:val="24"/>
          <w:szCs w:val="24"/>
        </w:rPr>
        <w:t>供电</w:t>
      </w:r>
      <w:r>
        <w:rPr>
          <w:rFonts w:hint="default" w:asciiTheme="minorAscii" w:hAnsiTheme="minorAscii" w:eastAsiaTheme="minorEastAsia" w:cstheme="minorEastAsia"/>
          <w:sz w:val="24"/>
          <w:szCs w:val="24"/>
          <w:lang w:val="en-US" w:eastAsia="zh-CN"/>
        </w:rPr>
        <w:t>系统由蓄电池、太阳能电池板、控制器、支架等组成</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z w:val="24"/>
          <w:szCs w:val="24"/>
          <w:lang w:val="en-US" w:eastAsia="zh-CN"/>
        </w:rPr>
        <w:t>集成于浮标体上，</w:t>
      </w:r>
      <w:r>
        <w:rPr>
          <w:rFonts w:hint="default" w:asciiTheme="minorAscii" w:hAnsiTheme="minorAscii" w:eastAsiaTheme="minorEastAsia" w:cstheme="minorEastAsia"/>
          <w:sz w:val="24"/>
          <w:szCs w:val="24"/>
        </w:rPr>
        <w:t>为相应设备供电；</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完成数据的</w:t>
      </w:r>
      <w:r>
        <w:rPr>
          <w:rFonts w:hint="default" w:asciiTheme="minorAscii" w:hAnsiTheme="minorAscii" w:eastAsiaTheme="minorEastAsia" w:cstheme="minorEastAsia"/>
          <w:sz w:val="24"/>
          <w:szCs w:val="24"/>
          <w:lang w:val="en-US" w:eastAsia="zh-CN"/>
        </w:rPr>
        <w:t>传输</w:t>
      </w:r>
      <w:r>
        <w:rPr>
          <w:rFonts w:hint="default" w:asciiTheme="minorAscii" w:hAnsiTheme="minorAscii" w:eastAsiaTheme="minorEastAsia" w:cstheme="minorEastAsia"/>
          <w:sz w:val="24"/>
          <w:szCs w:val="24"/>
        </w:rPr>
        <w:t>，使在线监测的数据通过</w:t>
      </w:r>
      <w:r>
        <w:rPr>
          <w:rFonts w:hint="default" w:asciiTheme="minorAscii" w:hAnsiTheme="minorAscii" w:eastAsiaTheme="minorEastAsia" w:cstheme="minorEastAsia"/>
          <w:sz w:val="24"/>
          <w:szCs w:val="24"/>
          <w:lang w:val="en-US" w:eastAsia="zh-CN"/>
        </w:rPr>
        <w:t>4G/5G网络或者有线网络发布</w:t>
      </w:r>
      <w:r>
        <w:rPr>
          <w:rFonts w:hint="default" w:asciiTheme="minorAscii" w:hAnsiTheme="minorAscii" w:eastAsiaTheme="minorEastAsia" w:cstheme="minorEastAsia"/>
          <w:sz w:val="24"/>
          <w:szCs w:val="24"/>
        </w:rPr>
        <w:t>到监管平台。</w:t>
      </w:r>
    </w:p>
    <w:p>
      <w:pPr>
        <w:pStyle w:val="8"/>
        <w:bidi w:val="0"/>
        <w:rPr>
          <w:rFonts w:hint="default" w:asciiTheme="minorAscii" w:hAnsiTheme="minorAscii" w:eastAsiaTheme="minorEastAsia" w:cstheme="minorEastAsia"/>
          <w:b/>
          <w:bCs/>
          <w:kern w:val="2"/>
          <w:sz w:val="24"/>
          <w:szCs w:val="24"/>
          <w:lang w:val="en-US" w:eastAsia="zh-CN" w:bidi="ar-SA"/>
        </w:rPr>
      </w:pPr>
      <w:r>
        <w:rPr>
          <w:rFonts w:hint="default" w:asciiTheme="minorAscii" w:hAnsiTheme="minorAscii" w:eastAsiaTheme="minorEastAsia" w:cstheme="minorEastAsia"/>
          <w:b/>
          <w:bCs/>
          <w:kern w:val="2"/>
          <w:sz w:val="24"/>
          <w:szCs w:val="24"/>
          <w:lang w:val="en-US" w:eastAsia="zh-CN" w:bidi="ar-SA"/>
        </w:rPr>
        <w:t>系统功能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分布于各测点的监测站全自动运行，可对现场水质进行实时监测并</w:t>
      </w:r>
      <w:r>
        <w:rPr>
          <w:rFonts w:hint="default" w:asciiTheme="minorAscii" w:hAnsiTheme="minorAscii" w:eastAsiaTheme="minorEastAsia" w:cstheme="minorEastAsia"/>
          <w:sz w:val="24"/>
          <w:szCs w:val="24"/>
          <w:lang w:val="en-US" w:eastAsia="zh-CN"/>
        </w:rPr>
        <w:t>通过平台</w:t>
      </w:r>
      <w:r>
        <w:rPr>
          <w:rFonts w:hint="default" w:asciiTheme="minorAscii" w:hAnsiTheme="minorAscii" w:eastAsiaTheme="minorEastAsia" w:cstheme="minorEastAsia"/>
          <w:sz w:val="24"/>
          <w:szCs w:val="24"/>
        </w:rPr>
        <w:t>记录水质的变化，通过专用的通讯系统，将监测数据</w:t>
      </w:r>
      <w:r>
        <w:rPr>
          <w:rFonts w:hint="default" w:asciiTheme="minorAscii" w:hAnsiTheme="minorAscii" w:eastAsiaTheme="minorEastAsia" w:cstheme="minorEastAsia"/>
          <w:sz w:val="24"/>
          <w:szCs w:val="24"/>
          <w:lang w:val="en-US" w:eastAsia="zh-CN"/>
        </w:rPr>
        <w:t>回</w:t>
      </w:r>
      <w:r>
        <w:rPr>
          <w:rFonts w:hint="default" w:asciiTheme="minorAscii" w:hAnsiTheme="minorAscii" w:eastAsiaTheme="minorEastAsia" w:cstheme="minorEastAsia"/>
          <w:sz w:val="24"/>
          <w:szCs w:val="24"/>
        </w:rPr>
        <w:t>传至</w:t>
      </w:r>
      <w:r>
        <w:rPr>
          <w:rFonts w:hint="default" w:asciiTheme="minorAscii" w:hAnsiTheme="minorAscii" w:eastAsiaTheme="minorEastAsia" w:cstheme="minorEastAsia"/>
          <w:sz w:val="24"/>
          <w:szCs w:val="24"/>
          <w:lang w:val="en-US" w:eastAsia="zh-CN"/>
        </w:rPr>
        <w:t>平台</w:t>
      </w:r>
      <w:r>
        <w:rPr>
          <w:rFonts w:hint="default" w:asciiTheme="minorAscii" w:hAnsiTheme="minorAscii" w:eastAsiaTheme="minorEastAsia" w:cstheme="minorEastAsia"/>
          <w:sz w:val="24"/>
          <w:szCs w:val="24"/>
        </w:rPr>
        <w:t>，从而实现监控中心对各</w:t>
      </w:r>
      <w:r>
        <w:rPr>
          <w:rFonts w:hint="default" w:asciiTheme="minorAscii" w:hAnsiTheme="minorAscii" w:eastAsiaTheme="minorEastAsia" w:cstheme="minorEastAsia"/>
          <w:sz w:val="24"/>
          <w:szCs w:val="24"/>
          <w:lang w:val="en-US" w:eastAsia="zh-CN"/>
        </w:rPr>
        <w:t>监测点水质的</w:t>
      </w:r>
      <w:r>
        <w:rPr>
          <w:rFonts w:hint="default" w:asciiTheme="minorAscii" w:hAnsiTheme="minorAscii" w:eastAsiaTheme="minorEastAsia" w:cstheme="minorEastAsia"/>
          <w:sz w:val="24"/>
          <w:szCs w:val="24"/>
        </w:rPr>
        <w:t>有效监管。</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11"/>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需支持4G或5G无线传输，需支持卫星定位；</w:t>
      </w:r>
    </w:p>
    <w:p>
      <w:pPr>
        <w:keepNext w:val="0"/>
        <w:keepLines w:val="0"/>
        <w:pageBreakBefore w:val="0"/>
        <w:widowControl w:val="0"/>
        <w:numPr>
          <w:ilvl w:val="0"/>
          <w:numId w:val="11"/>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实时监测氨氮、溶解氧、COD、pH、温度、电导率和浊度检测指标，需支持自动清洁，防止微生物附着；</w:t>
      </w:r>
    </w:p>
    <w:p>
      <w:pPr>
        <w:keepNext w:val="0"/>
        <w:keepLines w:val="0"/>
        <w:pageBreakBefore w:val="0"/>
        <w:widowControl w:val="0"/>
        <w:numPr>
          <w:ilvl w:val="0"/>
          <w:numId w:val="11"/>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具备光伏储能供电功能；</w:t>
      </w:r>
    </w:p>
    <w:p>
      <w:pPr>
        <w:keepNext w:val="0"/>
        <w:keepLines w:val="0"/>
        <w:pageBreakBefore w:val="0"/>
        <w:widowControl w:val="0"/>
        <w:numPr>
          <w:ilvl w:val="0"/>
          <w:numId w:val="11"/>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具备传感器远程管理、信息编辑、配置功能。</w:t>
      </w:r>
    </w:p>
    <w:p>
      <w:pPr>
        <w:pStyle w:val="8"/>
        <w:keepNext/>
        <w:keepLines/>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能耗及通信流量</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浮标式7参监测站点-浮标体满载功耗15W，日工作时间2h；浊度检测探头满载功耗0.2W，日工作时间2h；COD检测探头满载功耗0.2W，日工作时间2h；氨氮检测探头满载功耗0.2W，日工作时间2h；PH检测探头满载功耗0.2W，日工作时间2h；电导率检测探头满载功耗0.2W，日工作时间2h；溶解氧检测探头满载功耗0.2W，日工作时间2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606"/>
        <w:gridCol w:w="2630"/>
        <w:gridCol w:w="751"/>
        <w:gridCol w:w="764"/>
        <w:gridCol w:w="846"/>
        <w:gridCol w:w="696"/>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tblHeader/>
        </w:trPr>
        <w:tc>
          <w:tcPr>
            <w:tcW w:w="643"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263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515"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352"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733"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blHeader/>
        </w:trPr>
        <w:tc>
          <w:tcPr>
            <w:tcW w:w="643"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3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263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75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76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5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733"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trPr>
        <w:tc>
          <w:tcPr>
            <w:tcW w:w="64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510822-03-001</w:t>
            </w:r>
          </w:p>
        </w:tc>
        <w:tc>
          <w:tcPr>
            <w:tcW w:w="26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井田坝大桥支流汇入口</w:t>
            </w:r>
          </w:p>
        </w:tc>
        <w:tc>
          <w:tcPr>
            <w:tcW w:w="75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16.2</w:t>
            </w:r>
          </w:p>
        </w:tc>
        <w:tc>
          <w:tcPr>
            <w:tcW w:w="76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208.4</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0.0005</w:t>
            </w:r>
          </w:p>
        </w:tc>
        <w:tc>
          <w:tcPr>
            <w:tcW w:w="5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0.12</w:t>
            </w:r>
          </w:p>
        </w:tc>
        <w:tc>
          <w:tcPr>
            <w:tcW w:w="73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trPr>
        <w:tc>
          <w:tcPr>
            <w:tcW w:w="64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510822-03-002</w:t>
            </w:r>
          </w:p>
        </w:tc>
        <w:tc>
          <w:tcPr>
            <w:tcW w:w="26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刘家场乡支流汇入</w:t>
            </w:r>
          </w:p>
        </w:tc>
        <w:tc>
          <w:tcPr>
            <w:tcW w:w="75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16.2</w:t>
            </w:r>
          </w:p>
        </w:tc>
        <w:tc>
          <w:tcPr>
            <w:tcW w:w="76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208.4</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0.0005</w:t>
            </w:r>
          </w:p>
        </w:tc>
        <w:tc>
          <w:tcPr>
            <w:tcW w:w="5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0.12</w:t>
            </w:r>
          </w:p>
        </w:tc>
        <w:tc>
          <w:tcPr>
            <w:tcW w:w="73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64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3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510822-03-003</w:t>
            </w:r>
          </w:p>
        </w:tc>
        <w:tc>
          <w:tcPr>
            <w:tcW w:w="26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税家河汇入口</w:t>
            </w:r>
          </w:p>
        </w:tc>
        <w:tc>
          <w:tcPr>
            <w:tcW w:w="75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16.2</w:t>
            </w:r>
          </w:p>
        </w:tc>
        <w:tc>
          <w:tcPr>
            <w:tcW w:w="76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208.4</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0.0005</w:t>
            </w:r>
          </w:p>
        </w:tc>
        <w:tc>
          <w:tcPr>
            <w:tcW w:w="5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0.12</w:t>
            </w:r>
          </w:p>
        </w:tc>
        <w:tc>
          <w:tcPr>
            <w:tcW w:w="73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64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3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510822-03-004</w:t>
            </w:r>
          </w:p>
        </w:tc>
        <w:tc>
          <w:tcPr>
            <w:tcW w:w="26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桐子湾河流汇入</w:t>
            </w:r>
          </w:p>
        </w:tc>
        <w:tc>
          <w:tcPr>
            <w:tcW w:w="75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16.2</w:t>
            </w:r>
          </w:p>
        </w:tc>
        <w:tc>
          <w:tcPr>
            <w:tcW w:w="76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208.4</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0.0005</w:t>
            </w:r>
          </w:p>
        </w:tc>
        <w:tc>
          <w:tcPr>
            <w:tcW w:w="5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0.12</w:t>
            </w:r>
          </w:p>
        </w:tc>
        <w:tc>
          <w:tcPr>
            <w:tcW w:w="73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pStyle w:val="8"/>
        <w:keepNext/>
        <w:keepLines/>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建设点位</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本项目共计在白龙湖风景名胜区建设4套浮标式7参水质监测站，详细点位清单见下表：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1573"/>
        <w:gridCol w:w="1533"/>
        <w:gridCol w:w="1419"/>
        <w:gridCol w:w="999"/>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vertAlign w:val="baseline"/>
                <w:lang w:val="en-US" w:eastAsia="zh-CN"/>
              </w:rPr>
            </w:pPr>
            <w:r>
              <w:rPr>
                <w:rFonts w:hint="default" w:asciiTheme="minorAscii" w:hAnsiTheme="minorAscii" w:eastAsiaTheme="minorEastAsia" w:cstheme="minorEastAsia"/>
                <w:b/>
                <w:bCs/>
                <w:color w:val="auto"/>
                <w:sz w:val="18"/>
                <w:szCs w:val="18"/>
                <w:vertAlign w:val="baseline"/>
                <w:lang w:val="en-US" w:eastAsia="zh-CN"/>
              </w:rPr>
              <w:t>序号</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vertAlign w:val="baseline"/>
                <w:lang w:val="en-US" w:eastAsia="zh-CN"/>
              </w:rPr>
            </w:pPr>
            <w:r>
              <w:rPr>
                <w:rFonts w:hint="default" w:asciiTheme="minorAscii" w:hAnsiTheme="minorAscii" w:eastAsiaTheme="minorEastAsia" w:cstheme="minorEastAsia"/>
                <w:b/>
                <w:bCs/>
                <w:color w:val="auto"/>
                <w:sz w:val="18"/>
                <w:szCs w:val="18"/>
                <w:vertAlign w:val="baseline"/>
                <w:lang w:val="en-US" w:eastAsia="zh-CN"/>
              </w:rPr>
              <w:t>编号</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vertAlign w:val="baseline"/>
                <w:lang w:val="en-US" w:eastAsia="zh-CN"/>
              </w:rPr>
            </w:pPr>
            <w:r>
              <w:rPr>
                <w:rFonts w:hint="default" w:asciiTheme="minorAscii" w:hAnsiTheme="minorAscii" w:eastAsiaTheme="minorEastAsia" w:cstheme="minorEastAsia"/>
                <w:b/>
                <w:bCs/>
                <w:color w:val="auto"/>
                <w:sz w:val="18"/>
                <w:szCs w:val="18"/>
                <w:vertAlign w:val="baseline"/>
                <w:lang w:val="en-US" w:eastAsia="zh-CN"/>
              </w:rPr>
              <w:t>监测站点名称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vertAlign w:val="baseline"/>
                <w:lang w:val="en-US" w:eastAsia="zh-CN"/>
              </w:rPr>
            </w:pPr>
            <w:r>
              <w:rPr>
                <w:rFonts w:hint="default" w:asciiTheme="minorAscii" w:hAnsiTheme="minorAscii" w:eastAsiaTheme="minorEastAsia" w:cstheme="minorEastAsia"/>
                <w:b/>
                <w:bCs/>
                <w:color w:val="auto"/>
                <w:sz w:val="18"/>
                <w:szCs w:val="18"/>
                <w:vertAlign w:val="baseline"/>
                <w:lang w:val="en-US" w:eastAsia="zh-CN"/>
              </w:rPr>
              <w:t>经度</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vertAlign w:val="baseline"/>
                <w:lang w:val="en-US" w:eastAsia="zh-CN"/>
              </w:rPr>
            </w:pPr>
            <w:r>
              <w:rPr>
                <w:rFonts w:hint="default" w:asciiTheme="minorAscii" w:hAnsiTheme="minorAscii" w:eastAsiaTheme="minorEastAsia" w:cstheme="minorEastAsia"/>
                <w:b/>
                <w:bCs/>
                <w:color w:val="auto"/>
                <w:sz w:val="18"/>
                <w:szCs w:val="18"/>
                <w:vertAlign w:val="baseline"/>
                <w:lang w:val="en-US" w:eastAsia="zh-CN"/>
              </w:rPr>
              <w:t>纬度</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vertAlign w:val="baseline"/>
                <w:lang w:val="en-US" w:eastAsia="zh-CN"/>
              </w:rPr>
            </w:pPr>
            <w:r>
              <w:rPr>
                <w:rFonts w:hint="default" w:asciiTheme="minorAscii" w:hAnsiTheme="minorAscii" w:eastAsiaTheme="minorEastAsia" w:cstheme="minorEastAsia"/>
                <w:b/>
                <w:bCs/>
                <w:color w:val="auto"/>
                <w:sz w:val="18"/>
                <w:szCs w:val="18"/>
                <w:vertAlign w:val="baseline"/>
                <w:lang w:val="en-US" w:eastAsia="zh-CN"/>
              </w:rPr>
              <w:t>监测分类（大类）</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auto"/>
                <w:sz w:val="18"/>
                <w:szCs w:val="18"/>
                <w:vertAlign w:val="baseline"/>
                <w:lang w:val="en-US" w:eastAsia="zh-CN"/>
              </w:rPr>
            </w:pPr>
            <w:r>
              <w:rPr>
                <w:rFonts w:hint="default" w:asciiTheme="minorAscii" w:hAnsiTheme="minorAscii" w:eastAsiaTheme="minorEastAsia" w:cstheme="minorEastAsia"/>
                <w:b/>
                <w:bCs/>
                <w:color w:val="auto"/>
                <w:sz w:val="18"/>
                <w:szCs w:val="18"/>
                <w:vertAlign w:val="baseline"/>
                <w:lang w:val="en-US" w:eastAsia="zh-CN"/>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1</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510822-03-001</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井田坝大桥支流汇入口</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105.46135506</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32.67044523</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2</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510822-03-002</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刘家场乡支流汇入</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105.52729943</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32.65863015</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510822-03-003</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税家河汇入口</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105.55061496</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32.62880689</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highlight w:val="none"/>
                <w:vertAlign w:val="baseline"/>
                <w:lang w:val="en-US" w:eastAsia="zh-CN"/>
              </w:rPr>
            </w:pPr>
            <w:r>
              <w:rPr>
                <w:rFonts w:hint="default" w:asciiTheme="minorAscii" w:hAnsiTheme="minorAscii" w:eastAsiaTheme="minorEastAsia" w:cstheme="minorEastAsia"/>
                <w:color w:val="auto"/>
                <w:sz w:val="18"/>
                <w:szCs w:val="18"/>
                <w:highlight w:val="none"/>
                <w:vertAlign w:val="baseline"/>
                <w:lang w:val="en-US" w:eastAsia="zh-CN"/>
              </w:rPr>
              <w:t>河流汇入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4</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510822-03-004</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桐子湾河流汇入</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105.58325051</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32.55469864</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color w:val="auto"/>
                <w:sz w:val="18"/>
                <w:szCs w:val="18"/>
                <w:vertAlign w:val="baseline"/>
                <w:lang w:val="en-US" w:eastAsia="zh-CN"/>
              </w:rPr>
            </w:pPr>
            <w:r>
              <w:rPr>
                <w:rFonts w:hint="default" w:asciiTheme="minorAscii" w:hAnsiTheme="minorAscii" w:eastAsiaTheme="minorEastAsia" w:cstheme="minorEastAsia"/>
                <w:color w:val="auto"/>
                <w:sz w:val="18"/>
                <w:szCs w:val="18"/>
                <w:vertAlign w:val="baseline"/>
                <w:lang w:val="en-US" w:eastAsia="zh-CN"/>
              </w:rPr>
              <w:t>河流汇入</w:t>
            </w:r>
          </w:p>
        </w:tc>
      </w:tr>
    </w:tbl>
    <w:p>
      <w:pPr>
        <w:pStyle w:val="8"/>
        <w:keepNext/>
        <w:keepLines/>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配置清单</w:t>
      </w:r>
    </w:p>
    <w:tbl>
      <w:tblPr>
        <w:tblStyle w:val="19"/>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2911"/>
        <w:gridCol w:w="720"/>
        <w:gridCol w:w="660"/>
        <w:gridCol w:w="3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291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72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80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291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浮标式7参监测站点-浮标体</w:t>
            </w:r>
          </w:p>
        </w:tc>
        <w:tc>
          <w:tcPr>
            <w:tcW w:w="72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套</w:t>
            </w:r>
          </w:p>
        </w:tc>
        <w:tc>
          <w:tcPr>
            <w:tcW w:w="380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291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浊度检测探头</w:t>
            </w:r>
          </w:p>
        </w:tc>
        <w:tc>
          <w:tcPr>
            <w:tcW w:w="72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个</w:t>
            </w:r>
          </w:p>
        </w:tc>
        <w:tc>
          <w:tcPr>
            <w:tcW w:w="380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291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COD检测探头</w:t>
            </w:r>
          </w:p>
        </w:tc>
        <w:tc>
          <w:tcPr>
            <w:tcW w:w="72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个</w:t>
            </w:r>
          </w:p>
        </w:tc>
        <w:tc>
          <w:tcPr>
            <w:tcW w:w="380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291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氨氮检测探头</w:t>
            </w:r>
          </w:p>
        </w:tc>
        <w:tc>
          <w:tcPr>
            <w:tcW w:w="72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个</w:t>
            </w:r>
          </w:p>
        </w:tc>
        <w:tc>
          <w:tcPr>
            <w:tcW w:w="380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291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PH检测探头</w:t>
            </w:r>
          </w:p>
        </w:tc>
        <w:tc>
          <w:tcPr>
            <w:tcW w:w="72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个</w:t>
            </w:r>
          </w:p>
        </w:tc>
        <w:tc>
          <w:tcPr>
            <w:tcW w:w="380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291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电导率检测探头</w:t>
            </w:r>
          </w:p>
        </w:tc>
        <w:tc>
          <w:tcPr>
            <w:tcW w:w="72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个</w:t>
            </w:r>
          </w:p>
        </w:tc>
        <w:tc>
          <w:tcPr>
            <w:tcW w:w="380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w:t>
            </w:r>
          </w:p>
        </w:tc>
        <w:tc>
          <w:tcPr>
            <w:tcW w:w="291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溶解氧检测探头</w:t>
            </w:r>
          </w:p>
        </w:tc>
        <w:tc>
          <w:tcPr>
            <w:tcW w:w="72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个</w:t>
            </w:r>
          </w:p>
        </w:tc>
        <w:tc>
          <w:tcPr>
            <w:tcW w:w="380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bl>
    <w:p>
      <w:pPr>
        <w:pStyle w:val="5"/>
        <w:keepNext/>
        <w:keepLines/>
        <w:pageBreakBefore w:val="0"/>
        <w:widowControl w:val="0"/>
        <w:kinsoku/>
        <w:wordWrap/>
        <w:overflowPunct/>
        <w:topLinePunct w:val="0"/>
        <w:autoSpaceDE/>
        <w:autoSpaceDN/>
        <w:bidi w:val="0"/>
        <w:adjustRightInd/>
        <w:snapToGrid w:val="0"/>
        <w:spacing w:before="499" w:beforeLines="150"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河道流量监测基础能力建设</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河道流量监测</w:t>
      </w:r>
      <w:r>
        <w:rPr>
          <w:rFonts w:hint="default" w:asciiTheme="minorAscii" w:hAnsiTheme="minorAscii" w:eastAsiaTheme="minorEastAsia" w:cstheme="minorEastAsia"/>
          <w:sz w:val="24"/>
          <w:szCs w:val="24"/>
        </w:rPr>
        <w:t>是一种集成</w:t>
      </w:r>
      <w:r>
        <w:rPr>
          <w:rFonts w:hint="default" w:asciiTheme="minorAscii" w:hAnsiTheme="minorAscii" w:eastAsiaTheme="minorEastAsia" w:cstheme="minorEastAsia"/>
          <w:sz w:val="24"/>
          <w:szCs w:val="24"/>
          <w:lang w:val="en-US" w:eastAsia="zh-CN"/>
        </w:rPr>
        <w:t>多类型传感器、自动化数据采集、高速传输网络及智能分析算法</w:t>
      </w:r>
      <w:r>
        <w:rPr>
          <w:rFonts w:hint="default" w:asciiTheme="minorAscii" w:hAnsiTheme="minorAscii" w:eastAsiaTheme="minorEastAsia" w:cstheme="minorEastAsia"/>
          <w:sz w:val="24"/>
          <w:szCs w:val="24"/>
        </w:rPr>
        <w:t>、供电与防护装置于一体的监测设备，</w:t>
      </w:r>
      <w:r>
        <w:rPr>
          <w:rFonts w:hint="default" w:asciiTheme="minorAscii" w:hAnsiTheme="minorAscii" w:eastAsiaTheme="minorEastAsia" w:cstheme="minorEastAsia"/>
          <w:sz w:val="24"/>
          <w:szCs w:val="24"/>
          <w:lang w:val="en-US" w:eastAsia="zh-CN"/>
        </w:rPr>
        <w:t>实现对河道水流动态的实时感知、精准量化与趋势预测，为水资源管理、防洪减灾、生态保护等提供关键数据支持。</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点位选取原则</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应位于河道顺直、水流平稳、断面形态规则的区域，避免急弯、分汊、卡口或断面突变（如桥墩、拦河坝）的影响，确保流速分布均匀，减少局部涡流或回流对测量误差的干扰；</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监测断面需能反映上游来水与下游用水（如灌溉、发电、生态补水）的综合影响，优先选择在无支流汇入或分流的单一河道段，或通过多断面组网覆盖复杂流域；</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避开断层、滑坡、泥石流等地质灾害高发区，以及河道冲淤变化剧烈的河段（如游荡型河道），防止设备基础沉降或被泥沙掩埋；</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应远离闸门、泵站等人工调控设施，避免因频繁启闭导致水位骤变或流态紊乱；</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应选取运营商4G/5G信号已覆盖、电力供应有保障、交通方便的区域。</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河道流量基础能力建设</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河道流量监测基础能力建设，在重点断面汇入点，建设流量监测设备6套，监测水位、流速、流量等数据，与水质监测站相结合，通过计算得出污染通量，便于用户进行污染成因分析。根据现场实地踏勘结果，在4处有桥梁的断面上采建设雷达流量计监测河道流量；在2处水面宽广、上无桥梁的断面采用ADCP流量计监测河道流量。</w:t>
      </w:r>
    </w:p>
    <w:p>
      <w:pPr>
        <w:pStyle w:val="8"/>
        <w:keepNext/>
        <w:keepLines/>
        <w:pageBreakBefore w:val="0"/>
        <w:widowControl w:val="0"/>
        <w:kinsoku/>
        <w:wordWrap/>
        <w:overflowPunct/>
        <w:topLinePunct w:val="0"/>
        <w:autoSpaceDE/>
        <w:autoSpaceDN/>
        <w:bidi w:val="0"/>
        <w:adjustRightInd/>
        <w:snapToGrid w:val="0"/>
        <w:spacing w:before="333" w:beforeLines="10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雷达流量计</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b/>
          <w:bCs/>
          <w:kern w:val="2"/>
          <w:sz w:val="24"/>
          <w:szCs w:val="24"/>
          <w:lang w:val="en-US" w:eastAsia="zh-CN" w:bidi="ar-SA"/>
        </w:rPr>
      </w:pPr>
      <w:r>
        <w:rPr>
          <w:rFonts w:hint="default" w:asciiTheme="minorAscii" w:hAnsiTheme="minorAscii" w:eastAsiaTheme="minorEastAsia" w:cstheme="minorEastAsia"/>
          <w:b/>
          <w:bCs/>
          <w:kern w:val="2"/>
          <w:sz w:val="24"/>
          <w:szCs w:val="24"/>
          <w:lang w:val="en-US" w:eastAsia="zh-CN" w:bidi="ar-SA"/>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雷达流量计系统是一种基于雷达技术实现非接触式水流测量的先进设备，广泛应用于水文监测、环境保护、河流治理等领域。该系统通过发射和接收雷达波，结合多普勒效应和微波测量技术，精确获取水流速度、水位及流量数据，为水资源管理、防洪减灾、生态保护等提供关键技术支撑。</w:t>
      </w:r>
    </w:p>
    <w:p>
      <w:pPr>
        <w:pStyle w:val="9"/>
        <w:bidi w:val="0"/>
        <w:rPr>
          <w:rFonts w:hint="default" w:asciiTheme="minorAscii" w:hAnsiTheme="minorAscii" w:eastAsiaTheme="minorEastAsia" w:cstheme="minorEastAsia"/>
          <w:b/>
          <w:bCs/>
          <w:kern w:val="2"/>
          <w:sz w:val="24"/>
          <w:szCs w:val="24"/>
          <w:lang w:val="en-US" w:eastAsia="zh-CN" w:bidi="ar-SA"/>
        </w:rPr>
      </w:pPr>
      <w:r>
        <w:rPr>
          <w:rFonts w:hint="default" w:asciiTheme="minorAscii" w:hAnsiTheme="minorAscii" w:eastAsiaTheme="minorEastAsia" w:cstheme="minorEastAsia"/>
          <w:b/>
          <w:bCs/>
          <w:kern w:val="2"/>
          <w:sz w:val="24"/>
          <w:szCs w:val="24"/>
          <w:lang w:val="en-US" w:eastAsia="zh-CN" w:bidi="ar-SA"/>
        </w:rPr>
        <w:t>系统构成</w:t>
      </w:r>
    </w:p>
    <w:p>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0" distR="0">
            <wp:extent cx="4571365" cy="3744595"/>
            <wp:effectExtent l="0" t="0" r="635" b="4445"/>
            <wp:docPr id="16" name="图片 16" descr="F:\新项目整理\明渠流量计\传输规约\角度图.jpg"/>
            <wp:cNvGraphicFramePr/>
            <a:graphic xmlns:a="http://schemas.openxmlformats.org/drawingml/2006/main">
              <a:graphicData uri="http://schemas.openxmlformats.org/drawingml/2006/picture">
                <pic:pic xmlns:pic="http://schemas.openxmlformats.org/drawingml/2006/picture">
                  <pic:nvPicPr>
                    <pic:cNvPr id="16" name="图片 16" descr="F:\新项目整理\明渠流量计\传输规约\角度图.jp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71365" cy="3744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after="167" w:afterLines="50"/>
        <w:ind w:left="0" w:leftChars="0" w:firstLine="0" w:firstLineChars="0"/>
        <w:jc w:val="center"/>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图11 雷达流量计构成图</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雷达流量计主要由雷达流速计、水位观测球、遥测终端、</w:t>
      </w:r>
      <w:r>
        <w:rPr>
          <w:rFonts w:hint="default" w:asciiTheme="minorAscii" w:hAnsiTheme="minorAscii" w:eastAsiaTheme="minorEastAsia" w:cstheme="minorEastAsia"/>
          <w:sz w:val="24"/>
          <w:szCs w:val="24"/>
        </w:rPr>
        <w:t>供电系统</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等组成。</w:t>
      </w:r>
      <w:r>
        <w:rPr>
          <w:rFonts w:hint="default" w:asciiTheme="minorAscii" w:hAnsiTheme="minorAscii" w:eastAsiaTheme="minorEastAsia" w:cstheme="minorEastAsia"/>
          <w:sz w:val="24"/>
          <w:szCs w:val="24"/>
          <w:lang w:val="en-US" w:eastAsia="zh-CN"/>
        </w:rPr>
        <w:t>雷达流速计用于采集水流表面流速；水位观测球采用一体化设计，集成视频监控摄像机及水位雷达，实现对水位视频监控图像及雷达水位监测；遥测终端作为雷达流量计的主机设备，负责控制感知设备，并通过雷达流速计的观测数据计算得到过水断面平均流速，再结合水位观测球测得的水位以及断面信息算出过流断面面积，从而利用公式流量=平均流速×过流断面面积×修正系数得到流量，其中修正系数是根据实际测量环境得到的标准值进行计算得到；</w:t>
      </w:r>
      <w:r>
        <w:rPr>
          <w:rFonts w:hint="default" w:asciiTheme="minorAscii" w:hAnsiTheme="minorAscii" w:eastAsiaTheme="minorEastAsia" w:cstheme="minorEastAsia"/>
          <w:sz w:val="24"/>
          <w:szCs w:val="24"/>
        </w:rPr>
        <w:t>供电</w:t>
      </w:r>
      <w:r>
        <w:rPr>
          <w:rFonts w:hint="default" w:asciiTheme="minorAscii" w:hAnsiTheme="minorAscii" w:eastAsiaTheme="minorEastAsia" w:cstheme="minorEastAsia"/>
          <w:sz w:val="24"/>
          <w:szCs w:val="24"/>
          <w:lang w:val="en-US" w:eastAsia="zh-CN"/>
        </w:rPr>
        <w:t>系统由一体化光储能柱组成</w:t>
      </w:r>
      <w:r>
        <w:rPr>
          <w:rFonts w:hint="default" w:asciiTheme="minorAscii" w:hAnsiTheme="minorAscii" w:eastAsiaTheme="minorEastAsia" w:cstheme="minorEastAsia"/>
          <w:sz w:val="24"/>
          <w:szCs w:val="24"/>
        </w:rPr>
        <w:t>，为相应设备供电；</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完成数据</w:t>
      </w:r>
      <w:r>
        <w:rPr>
          <w:rFonts w:hint="default" w:asciiTheme="minorAscii" w:hAnsiTheme="minorAscii" w:eastAsiaTheme="minorEastAsia" w:cstheme="minorEastAsia"/>
          <w:sz w:val="24"/>
          <w:szCs w:val="24"/>
          <w:lang w:val="en-US" w:eastAsia="zh-CN"/>
        </w:rPr>
        <w:t>与视频</w:t>
      </w:r>
      <w:r>
        <w:rPr>
          <w:rFonts w:hint="default" w:asciiTheme="minorAscii" w:hAnsiTheme="minorAscii" w:eastAsiaTheme="minorEastAsia" w:cstheme="minorEastAsia"/>
          <w:sz w:val="24"/>
          <w:szCs w:val="24"/>
        </w:rPr>
        <w:t>的</w:t>
      </w:r>
      <w:r>
        <w:rPr>
          <w:rFonts w:hint="default" w:asciiTheme="minorAscii" w:hAnsiTheme="minorAscii" w:eastAsiaTheme="minorEastAsia" w:cstheme="minorEastAsia"/>
          <w:sz w:val="24"/>
          <w:szCs w:val="24"/>
          <w:lang w:val="en-US" w:eastAsia="zh-CN"/>
        </w:rPr>
        <w:t>传输</w:t>
      </w:r>
      <w:r>
        <w:rPr>
          <w:rFonts w:hint="default" w:asciiTheme="minorAscii" w:hAnsiTheme="minorAscii" w:eastAsiaTheme="minorEastAsia" w:cstheme="minorEastAsia"/>
          <w:sz w:val="24"/>
          <w:szCs w:val="24"/>
        </w:rPr>
        <w:t>，使在线监测的数据</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视频</w:t>
      </w:r>
      <w:r>
        <w:rPr>
          <w:rFonts w:hint="default" w:asciiTheme="minorAscii" w:hAnsiTheme="minorAscii" w:eastAsiaTheme="minorEastAsia" w:cstheme="minorEastAsia"/>
          <w:sz w:val="24"/>
          <w:szCs w:val="24"/>
        </w:rPr>
        <w:t>通过</w:t>
      </w:r>
      <w:r>
        <w:rPr>
          <w:rFonts w:hint="default" w:asciiTheme="minorAscii" w:hAnsiTheme="minorAscii" w:eastAsiaTheme="minorEastAsia" w:cstheme="minorEastAsia"/>
          <w:sz w:val="24"/>
          <w:szCs w:val="24"/>
          <w:lang w:val="en-US" w:eastAsia="zh-CN"/>
        </w:rPr>
        <w:t>4G/5G网络或者有线网络发布</w:t>
      </w:r>
      <w:r>
        <w:rPr>
          <w:rFonts w:hint="default" w:asciiTheme="minorAscii" w:hAnsiTheme="minorAscii" w:eastAsiaTheme="minorEastAsia" w:cstheme="minorEastAsia"/>
          <w:sz w:val="24"/>
          <w:szCs w:val="24"/>
        </w:rPr>
        <w:t>到监管平台。</w:t>
      </w:r>
    </w:p>
    <w:p>
      <w:pPr>
        <w:pStyle w:val="9"/>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分布于各监测点的监测站全自动运行，可对</w:t>
      </w:r>
      <w:r>
        <w:rPr>
          <w:rFonts w:hint="default" w:asciiTheme="minorAscii" w:hAnsiTheme="minorAscii" w:eastAsiaTheme="minorEastAsia" w:cstheme="minorEastAsia"/>
          <w:sz w:val="24"/>
          <w:szCs w:val="24"/>
          <w:lang w:val="en-US" w:eastAsia="zh-CN"/>
        </w:rPr>
        <w:t>河道流量</w:t>
      </w:r>
      <w:r>
        <w:rPr>
          <w:rFonts w:hint="default" w:asciiTheme="minorAscii" w:hAnsiTheme="minorAscii" w:eastAsiaTheme="minorEastAsia" w:cstheme="minorEastAsia"/>
          <w:sz w:val="24"/>
          <w:szCs w:val="24"/>
        </w:rPr>
        <w:t>进行实时监测并</w:t>
      </w:r>
      <w:r>
        <w:rPr>
          <w:rFonts w:hint="default" w:asciiTheme="minorAscii" w:hAnsiTheme="minorAscii" w:eastAsiaTheme="minorEastAsia" w:cstheme="minorEastAsia"/>
          <w:sz w:val="24"/>
          <w:szCs w:val="24"/>
          <w:lang w:val="en-US" w:eastAsia="zh-CN"/>
        </w:rPr>
        <w:t>通过平台</w:t>
      </w:r>
      <w:r>
        <w:rPr>
          <w:rFonts w:hint="default" w:asciiTheme="minorAscii" w:hAnsiTheme="minorAscii" w:eastAsiaTheme="minorEastAsia" w:cstheme="minorEastAsia"/>
          <w:sz w:val="24"/>
          <w:szCs w:val="24"/>
        </w:rPr>
        <w:t>记录</w:t>
      </w:r>
      <w:r>
        <w:rPr>
          <w:rFonts w:hint="default" w:asciiTheme="minorAscii" w:hAnsiTheme="minorAscii" w:eastAsiaTheme="minorEastAsia" w:cstheme="minorEastAsia"/>
          <w:sz w:val="24"/>
          <w:szCs w:val="24"/>
          <w:lang w:val="en-US" w:eastAsia="zh-CN"/>
        </w:rPr>
        <w:t>流量</w:t>
      </w:r>
      <w:r>
        <w:rPr>
          <w:rFonts w:hint="default" w:asciiTheme="minorAscii" w:hAnsiTheme="minorAscii" w:eastAsiaTheme="minorEastAsia" w:cstheme="minorEastAsia"/>
          <w:sz w:val="24"/>
          <w:szCs w:val="24"/>
        </w:rPr>
        <w:t>的变化，通过专用的通讯系统，将监测数据</w:t>
      </w:r>
      <w:r>
        <w:rPr>
          <w:rFonts w:hint="default" w:asciiTheme="minorAscii" w:hAnsiTheme="minorAscii" w:eastAsiaTheme="minorEastAsia" w:cstheme="minorEastAsia"/>
          <w:sz w:val="24"/>
          <w:szCs w:val="24"/>
          <w:lang w:val="en-US" w:eastAsia="zh-CN"/>
        </w:rPr>
        <w:t>回</w:t>
      </w:r>
      <w:r>
        <w:rPr>
          <w:rFonts w:hint="default" w:asciiTheme="minorAscii" w:hAnsiTheme="minorAscii" w:eastAsiaTheme="minorEastAsia" w:cstheme="minorEastAsia"/>
          <w:sz w:val="24"/>
          <w:szCs w:val="24"/>
        </w:rPr>
        <w:t>传至</w:t>
      </w:r>
      <w:r>
        <w:rPr>
          <w:rFonts w:hint="default" w:asciiTheme="minorAscii" w:hAnsiTheme="minorAscii" w:eastAsiaTheme="minorEastAsia" w:cstheme="minorEastAsia"/>
          <w:sz w:val="24"/>
          <w:szCs w:val="24"/>
          <w:lang w:val="en-US" w:eastAsia="zh-CN"/>
        </w:rPr>
        <w:t>平台</w:t>
      </w:r>
      <w:r>
        <w:rPr>
          <w:rFonts w:hint="default" w:asciiTheme="minorAscii" w:hAnsiTheme="minorAscii" w:eastAsiaTheme="minorEastAsia" w:cstheme="minorEastAsia"/>
          <w:sz w:val="24"/>
          <w:szCs w:val="24"/>
        </w:rPr>
        <w:t>，从而实现监控中心对各</w:t>
      </w:r>
      <w:r>
        <w:rPr>
          <w:rFonts w:hint="default" w:asciiTheme="minorAscii" w:hAnsiTheme="minorAscii" w:eastAsiaTheme="minorEastAsia" w:cstheme="minorEastAsia"/>
          <w:sz w:val="24"/>
          <w:szCs w:val="24"/>
          <w:lang w:val="en-US" w:eastAsia="zh-CN"/>
        </w:rPr>
        <w:t>监测点流量的</w:t>
      </w:r>
      <w:r>
        <w:rPr>
          <w:rFonts w:hint="default" w:asciiTheme="minorAscii" w:hAnsiTheme="minorAscii" w:eastAsiaTheme="minorEastAsia" w:cstheme="minorEastAsia"/>
          <w:sz w:val="24"/>
          <w:szCs w:val="24"/>
        </w:rPr>
        <w:t>有效监管。</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水体表面流速测量：采用多普勒雷达测速原理，对水流表面流速进行精准探测。能够在各种复杂环境下，全天候、全天时稳定工作，不受光照、天气等因素影响，确保流速数据的连续性和可靠性；</w:t>
      </w:r>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水体水位测量：通过雷达技术精确测量水位，在 0m～10.0m 测量范围内，水位测量准确度等级不低于 1 级，符合相关标准要求，能够准确反映水位的变化情况；</w:t>
      </w:r>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视频水位一体化监测：水位观测球采用视频、水位雷达一体化设计，不仅可以利用雷达准确测量水位，还能通过视频实时观察水位周边环境和水位变化的直观情况，为水位分析提供更丰富的信息；</w:t>
      </w:r>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支持4G或5G无线传输，需支持卫星定位；</w:t>
      </w:r>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传感器数据 OSD 叠加到视频画面，方便监控人员直观地查看传感器数据与现场视频的对应关系。传感器报警联动 IPC 通道抓图、录像，当传感器检测到异常情况时，自动触发摄像机抓图和录像功能，为后续的分析和处理提供有力的证据；</w:t>
      </w:r>
    </w:p>
    <w:p>
      <w:pPr>
        <w:keepNext w:val="0"/>
        <w:keepLines w:val="0"/>
        <w:pageBreakBefore w:val="0"/>
        <w:widowControl w:val="0"/>
        <w:numPr>
          <w:ilvl w:val="0"/>
          <w:numId w:val="1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具备光伏储能供电功能；</w:t>
      </w:r>
    </w:p>
    <w:p>
      <w:pPr>
        <w:keepNext w:val="0"/>
        <w:keepLines w:val="0"/>
        <w:pageBreakBefore w:val="0"/>
        <w:widowControl w:val="0"/>
        <w:numPr>
          <w:ilvl w:val="0"/>
          <w:numId w:val="13"/>
        </w:numPr>
        <w:kinsoku/>
        <w:wordWrap/>
        <w:overflowPunct/>
        <w:topLinePunct w:val="0"/>
        <w:autoSpaceDE/>
        <w:autoSpaceDN/>
        <w:bidi w:val="0"/>
        <w:adjustRightInd w:val="0"/>
        <w:snapToGrid w:val="0"/>
        <w:spacing w:after="167" w:afterLines="50"/>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具备传感器远程管理、信息编辑、配置功能。</w:t>
      </w:r>
    </w:p>
    <w:p>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5273040" cy="3545205"/>
            <wp:effectExtent l="0" t="0" r="0" b="5715"/>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14"/>
                    <a:stretch>
                      <a:fillRect/>
                    </a:stretch>
                  </pic:blipFill>
                  <pic:spPr>
                    <a:xfrm>
                      <a:off x="0" y="0"/>
                      <a:ext cx="5273040" cy="35452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before="167" w:beforeLines="5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图12 雷达流量监测站系统构成图</w:t>
      </w:r>
    </w:p>
    <w:p>
      <w:pPr>
        <w:pStyle w:val="9"/>
        <w:bidi w:val="0"/>
        <w:ind w:left="0" w:leftChars="0" w:firstLine="0" w:firstLineChars="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能耗及通信流量</w:t>
      </w:r>
    </w:p>
    <w:p>
      <w:pPr>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雷达流量计满载功耗6W，日工作时间2h；接入路由器满载功耗24W，日工作时间24h；接入水位观测球满载功耗13W，日工作时间24h；遥测终端满载功耗10W，日工作时间24h。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2648"/>
        <w:gridCol w:w="755"/>
        <w:gridCol w:w="769"/>
        <w:gridCol w:w="755"/>
        <w:gridCol w:w="696"/>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48"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9"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2648"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524"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357"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731"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48"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389"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2648"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60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510822-04-001</w:t>
            </w:r>
          </w:p>
        </w:tc>
        <w:tc>
          <w:tcPr>
            <w:tcW w:w="2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姚渡断面流量站</w:t>
            </w: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53</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1140</w:t>
            </w: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1.95</w:t>
            </w:r>
          </w:p>
        </w:tc>
        <w:tc>
          <w:tcPr>
            <w:tcW w:w="60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46.8</w:t>
            </w:r>
          </w:p>
        </w:tc>
        <w:tc>
          <w:tcPr>
            <w:tcW w:w="73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510822-04-002</w:t>
            </w:r>
          </w:p>
        </w:tc>
        <w:tc>
          <w:tcPr>
            <w:tcW w:w="2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木鱼断面流量站</w:t>
            </w: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vertAlign w:val="baseline"/>
                <w:lang w:val="en-US" w:eastAsia="zh-CN"/>
              </w:rPr>
              <w:t>53</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1140</w:t>
            </w: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1.95</w:t>
            </w:r>
          </w:p>
        </w:tc>
        <w:tc>
          <w:tcPr>
            <w:tcW w:w="60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46.8</w:t>
            </w:r>
          </w:p>
        </w:tc>
        <w:tc>
          <w:tcPr>
            <w:tcW w:w="73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w:t>
            </w:r>
            <w:r>
              <w:rPr>
                <w:rFonts w:hint="default" w:asciiTheme="minorAscii" w:hAnsiTheme="minorAscii" w:eastAsiaTheme="minorEastAsia" w:cstheme="minorEastAsia"/>
                <w:sz w:val="18"/>
                <w:szCs w:val="18"/>
                <w:highlight w:val="none"/>
                <w:vertAlign w:val="baseline"/>
                <w:lang w:val="en-US" w:eastAsia="zh-CN"/>
              </w:rPr>
              <w:t>003</w:t>
            </w:r>
          </w:p>
        </w:tc>
        <w:tc>
          <w:tcPr>
            <w:tcW w:w="2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幸福岛断面流量站</w:t>
            </w: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vertAlign w:val="baseline"/>
                <w:lang w:val="en-US" w:eastAsia="zh-CN"/>
              </w:rPr>
              <w:t>53</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1140</w:t>
            </w: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1.95</w:t>
            </w:r>
          </w:p>
        </w:tc>
        <w:tc>
          <w:tcPr>
            <w:tcW w:w="60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46.8</w:t>
            </w:r>
          </w:p>
        </w:tc>
        <w:tc>
          <w:tcPr>
            <w:tcW w:w="73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510822-04-005</w:t>
            </w:r>
          </w:p>
        </w:tc>
        <w:tc>
          <w:tcPr>
            <w:tcW w:w="2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宝珠寺水电站坝后断面流量站</w:t>
            </w: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vertAlign w:val="baseline"/>
                <w:lang w:val="en-US" w:eastAsia="zh-CN"/>
              </w:rPr>
              <w:t>53</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1140</w:t>
            </w:r>
          </w:p>
        </w:tc>
        <w:tc>
          <w:tcPr>
            <w:tcW w:w="7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1.95</w:t>
            </w:r>
          </w:p>
        </w:tc>
        <w:tc>
          <w:tcPr>
            <w:tcW w:w="60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46.8</w:t>
            </w:r>
          </w:p>
        </w:tc>
        <w:tc>
          <w:tcPr>
            <w:tcW w:w="73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pStyle w:val="9"/>
        <w:bidi w:val="0"/>
        <w:ind w:left="0" w:leftChars="0" w:firstLine="0" w:firstLineChars="0"/>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建设点位</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本项目共计在白龙湖风景名胜区建设4套雷达流量计，详细点位清单见下表：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1573"/>
        <w:gridCol w:w="1533"/>
        <w:gridCol w:w="1419"/>
        <w:gridCol w:w="999"/>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blHeader/>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经度</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纬度</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监测分类（大类）</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510822-04-001</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姚渡断面流量站</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105.44017772</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32.77577525</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境外汇入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510822-04-002</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木鱼断面流量站</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105.40917323</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32.63069158</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境外汇入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w:t>
            </w:r>
            <w:r>
              <w:rPr>
                <w:rFonts w:hint="default" w:asciiTheme="minorAscii" w:hAnsiTheme="minorAscii" w:eastAsiaTheme="minorEastAsia" w:cstheme="minorEastAsia"/>
                <w:sz w:val="18"/>
                <w:szCs w:val="18"/>
                <w:highlight w:val="none"/>
                <w:vertAlign w:val="baseline"/>
                <w:lang w:val="en-US" w:eastAsia="zh-CN"/>
              </w:rPr>
              <w:t>003</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幸福岛断面流量站</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105.43911733</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32.64289503</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境外汇入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510822-04-005</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宝珠寺水电站坝后断面流量站</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105.61682141</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32.50866295</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坝前流出</w:t>
            </w:r>
          </w:p>
        </w:tc>
      </w:tr>
    </w:tbl>
    <w:p>
      <w:pPr>
        <w:pStyle w:val="9"/>
        <w:keepNext/>
        <w:keepLines/>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配置清单</w:t>
      </w:r>
    </w:p>
    <w:tbl>
      <w:tblPr>
        <w:tblStyle w:val="19"/>
        <w:tblW w:w="8816"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457"/>
        <w:gridCol w:w="705"/>
        <w:gridCol w:w="690"/>
        <w:gridCol w:w="4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blHeader/>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24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70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424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24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雷达流速仪</w:t>
            </w:r>
          </w:p>
        </w:tc>
        <w:tc>
          <w:tcPr>
            <w:tcW w:w="70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lang w:val="en-US" w:eastAsia="zh-CN"/>
              </w:rPr>
              <w:t>台</w:t>
            </w:r>
          </w:p>
        </w:tc>
        <w:tc>
          <w:tcPr>
            <w:tcW w:w="424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lang w:val="en-US" w:eastAsia="zh-CN"/>
              </w:rPr>
              <w:t>水位观测球</w:t>
            </w:r>
          </w:p>
        </w:tc>
        <w:tc>
          <w:tcPr>
            <w:tcW w:w="70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lang w:val="en-US" w:eastAsia="zh-CN"/>
              </w:rPr>
              <w:t>台</w:t>
            </w:r>
          </w:p>
        </w:tc>
        <w:tc>
          <w:tcPr>
            <w:tcW w:w="424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遥测终端</w:t>
            </w:r>
          </w:p>
        </w:tc>
        <w:tc>
          <w:tcPr>
            <w:tcW w:w="70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424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桥体附挂安装支架套件</w:t>
            </w:r>
          </w:p>
        </w:tc>
        <w:tc>
          <w:tcPr>
            <w:tcW w:w="70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4</w:t>
            </w:r>
          </w:p>
        </w:tc>
        <w:tc>
          <w:tcPr>
            <w:tcW w:w="69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lang w:val="en-US" w:eastAsia="zh-CN"/>
              </w:rPr>
              <w:t>套</w:t>
            </w:r>
          </w:p>
        </w:tc>
        <w:tc>
          <w:tcPr>
            <w:tcW w:w="424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5</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lang w:val="en-US" w:eastAsia="zh-CN" w:bidi="ar-SA"/>
              </w:rPr>
            </w:pPr>
            <w:r>
              <w:rPr>
                <w:rFonts w:hint="default" w:asciiTheme="minorAscii" w:hAnsiTheme="minorAscii" w:eastAsiaTheme="minorEastAsia" w:cstheme="minorEastAsia"/>
                <w:sz w:val="18"/>
                <w:szCs w:val="18"/>
                <w:lang w:val="en-US" w:eastAsia="zh-CN"/>
              </w:rPr>
              <w:t>接入路由器</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户外防水网络音柱（</w:t>
            </w:r>
            <w:r>
              <w:rPr>
                <w:rFonts w:hint="default" w:asciiTheme="minorAscii" w:hAnsiTheme="minorAscii" w:eastAsiaTheme="minorEastAsia" w:cstheme="minorEastAsia"/>
                <w:sz w:val="18"/>
                <w:szCs w:val="18"/>
                <w:lang w:val="en-US" w:eastAsia="zh-CN"/>
              </w:rPr>
              <w:t>3</w:t>
            </w:r>
            <w:r>
              <w:rPr>
                <w:rFonts w:hint="default" w:asciiTheme="minorAscii" w:hAnsiTheme="minorAscii" w:eastAsiaTheme="minorEastAsia" w:cstheme="minorEastAsia"/>
                <w:sz w:val="18"/>
                <w:szCs w:val="18"/>
              </w:rPr>
              <w:t>0W）</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个</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7</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一体化风光储能柱（8.5m）</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根</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8</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柱（杆）挂设备箱</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个</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地笼</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副</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混凝土基础</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墩</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防雷接地装置</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12</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手孔井</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13</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设备侧电源线（3*1.5）</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300</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14</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六类网线</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200</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RS485通讯电缆</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200</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地埋线缆保护管</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200</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w:t>
            </w:r>
          </w:p>
        </w:tc>
        <w:tc>
          <w:tcPr>
            <w:tcW w:w="24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辅材2</w:t>
            </w:r>
          </w:p>
        </w:tc>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9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项</w:t>
            </w:r>
          </w:p>
        </w:tc>
        <w:tc>
          <w:tcPr>
            <w:tcW w:w="42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bl>
    <w:p>
      <w:pPr>
        <w:pStyle w:val="8"/>
        <w:keepNext/>
        <w:keepLines/>
        <w:pageBreakBefore w:val="0"/>
        <w:widowControl w:val="0"/>
        <w:kinsoku/>
        <w:wordWrap/>
        <w:overflowPunct/>
        <w:topLinePunct w:val="0"/>
        <w:autoSpaceDE/>
        <w:autoSpaceDN/>
        <w:bidi w:val="0"/>
        <w:adjustRightInd/>
        <w:snapToGrid w:val="0"/>
        <w:spacing w:before="499" w:beforeLines="15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ADCP流量计</w:t>
      </w:r>
    </w:p>
    <w:p>
      <w:pPr>
        <w:pStyle w:val="9"/>
        <w:pageBreakBefore w:val="0"/>
        <w:widowControl w:val="0"/>
        <w:kinsoku/>
        <w:wordWrap/>
        <w:overflowPunct/>
        <w:topLinePunct w:val="0"/>
        <w:autoSpaceDE/>
        <w:autoSpaceDN/>
        <w:bidi w:val="0"/>
        <w:adjustRightIn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pageBreakBefore w:val="0"/>
        <w:widowControl w:val="0"/>
        <w:kinsoku/>
        <w:wordWrap/>
        <w:overflowPunct/>
        <w:topLinePunct w:val="0"/>
        <w:autoSpaceDE/>
        <w:autoSpaceDN/>
        <w:bidi w:val="0"/>
        <w:adjustRightIn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ADCP（声学多普勒剖面流量计）流量计系统是一种基于声学多普勒效应的先进流量测量设备，广泛应用于河流、明渠、管道及海洋等场景的流速、流量监测。该系统通过发射高频声波并接收水中悬浮颗粒反射的回波信号，利用多普勒频移原理计算水流速度，结合水位数据和断面形态，实现高精度、非接触式的流量测量。</w:t>
      </w:r>
    </w:p>
    <w:p>
      <w:pPr>
        <w:pStyle w:val="9"/>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系统构成</w:t>
      </w:r>
    </w:p>
    <w:p>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5275580" cy="3101340"/>
            <wp:effectExtent l="0" t="0" r="12700" b="762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15"/>
                    <a:stretch>
                      <a:fillRect/>
                    </a:stretch>
                  </pic:blipFill>
                  <pic:spPr>
                    <a:xfrm>
                      <a:off x="0" y="0"/>
                      <a:ext cx="5275580" cy="3101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图13 ADCP流量监测站系统构成图</w:t>
      </w:r>
    </w:p>
    <w:p>
      <w:pPr>
        <w:keepNext w:val="0"/>
        <w:keepLines w:val="0"/>
        <w:pageBreakBefore w:val="0"/>
        <w:widowControl w:val="0"/>
        <w:kinsoku/>
        <w:wordWrap/>
        <w:overflowPunct/>
        <w:topLinePunct w:val="0"/>
        <w:autoSpaceDE/>
        <w:autoSpaceDN/>
        <w:bidi w:val="0"/>
        <w:adjustRightInd w:val="0"/>
        <w:snapToGrid/>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ADCP流量计主要由ADCP流量计主要由巡回驱动系统、行车及垂直升降系统、视频追踪系统、ADCP流量监测控制系统（一体机）、钢塔、供电系统、传输系统等组成。ADCP流量监测控制系统（一体机）用于水流表面流速、流量等监测；巡回驱动系统、行车及垂直升降系统实现对前端设备高度及位置的控制；视频追踪系统用于现场视频采集；钢塔用于承载ADCP流量计设备；</w:t>
      </w:r>
      <w:r>
        <w:rPr>
          <w:rFonts w:hint="default" w:asciiTheme="minorAscii" w:hAnsiTheme="minorAscii" w:eastAsiaTheme="minorEastAsia" w:cstheme="minorEastAsia"/>
          <w:sz w:val="24"/>
          <w:szCs w:val="24"/>
        </w:rPr>
        <w:t>供电</w:t>
      </w:r>
      <w:r>
        <w:rPr>
          <w:rFonts w:hint="default" w:asciiTheme="minorAscii" w:hAnsiTheme="minorAscii" w:eastAsiaTheme="minorEastAsia" w:cstheme="minorEastAsia"/>
          <w:sz w:val="24"/>
          <w:szCs w:val="24"/>
          <w:lang w:val="en-US" w:eastAsia="zh-CN"/>
        </w:rPr>
        <w:t>系统由一体化光储能柱组成</w:t>
      </w:r>
      <w:r>
        <w:rPr>
          <w:rFonts w:hint="default" w:asciiTheme="minorAscii" w:hAnsiTheme="minorAscii" w:eastAsiaTheme="minorEastAsia" w:cstheme="minorEastAsia"/>
          <w:sz w:val="24"/>
          <w:szCs w:val="24"/>
        </w:rPr>
        <w:t>，为相应设备供电；</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完成数据</w:t>
      </w:r>
      <w:r>
        <w:rPr>
          <w:rFonts w:hint="default" w:asciiTheme="minorAscii" w:hAnsiTheme="minorAscii" w:eastAsiaTheme="minorEastAsia" w:cstheme="minorEastAsia"/>
          <w:sz w:val="24"/>
          <w:szCs w:val="24"/>
          <w:lang w:val="en-US" w:eastAsia="zh-CN"/>
        </w:rPr>
        <w:t>与视频</w:t>
      </w:r>
      <w:r>
        <w:rPr>
          <w:rFonts w:hint="default" w:asciiTheme="minorAscii" w:hAnsiTheme="minorAscii" w:eastAsiaTheme="minorEastAsia" w:cstheme="minorEastAsia"/>
          <w:sz w:val="24"/>
          <w:szCs w:val="24"/>
        </w:rPr>
        <w:t>的</w:t>
      </w:r>
      <w:r>
        <w:rPr>
          <w:rFonts w:hint="default" w:asciiTheme="minorAscii" w:hAnsiTheme="minorAscii" w:eastAsiaTheme="minorEastAsia" w:cstheme="minorEastAsia"/>
          <w:sz w:val="24"/>
          <w:szCs w:val="24"/>
          <w:lang w:val="en-US" w:eastAsia="zh-CN"/>
        </w:rPr>
        <w:t>传输</w:t>
      </w:r>
      <w:r>
        <w:rPr>
          <w:rFonts w:hint="default" w:asciiTheme="minorAscii" w:hAnsiTheme="minorAscii" w:eastAsiaTheme="minorEastAsia" w:cstheme="minorEastAsia"/>
          <w:sz w:val="24"/>
          <w:szCs w:val="24"/>
        </w:rPr>
        <w:t>，使在线监测的数据</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视频</w:t>
      </w:r>
      <w:r>
        <w:rPr>
          <w:rFonts w:hint="default" w:asciiTheme="minorAscii" w:hAnsiTheme="minorAscii" w:eastAsiaTheme="minorEastAsia" w:cstheme="minorEastAsia"/>
          <w:sz w:val="24"/>
          <w:szCs w:val="24"/>
        </w:rPr>
        <w:t>通过</w:t>
      </w:r>
      <w:r>
        <w:rPr>
          <w:rFonts w:hint="default" w:asciiTheme="minorAscii" w:hAnsiTheme="minorAscii" w:eastAsiaTheme="minorEastAsia" w:cstheme="minorEastAsia"/>
          <w:sz w:val="24"/>
          <w:szCs w:val="24"/>
          <w:lang w:val="en-US" w:eastAsia="zh-CN"/>
        </w:rPr>
        <w:t>4G/5G网络或者有线网络发布</w:t>
      </w:r>
      <w:r>
        <w:rPr>
          <w:rFonts w:hint="default" w:asciiTheme="minorAscii" w:hAnsiTheme="minorAscii" w:eastAsiaTheme="minorEastAsia" w:cstheme="minorEastAsia"/>
          <w:sz w:val="24"/>
          <w:szCs w:val="24"/>
        </w:rPr>
        <w:t>到监管平台。</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ADCP流量计</w:t>
      </w:r>
      <w:r>
        <w:rPr>
          <w:rFonts w:hint="default" w:asciiTheme="minorAscii" w:hAnsiTheme="minorAscii" w:eastAsiaTheme="minorEastAsia" w:cstheme="minorEastAsia"/>
          <w:sz w:val="24"/>
          <w:szCs w:val="24"/>
        </w:rPr>
        <w:t>全自动运行，可对</w:t>
      </w:r>
      <w:r>
        <w:rPr>
          <w:rFonts w:hint="default" w:asciiTheme="minorAscii" w:hAnsiTheme="minorAscii" w:eastAsiaTheme="minorEastAsia" w:cstheme="minorEastAsia"/>
          <w:sz w:val="24"/>
          <w:szCs w:val="24"/>
          <w:lang w:val="en-US" w:eastAsia="zh-CN"/>
        </w:rPr>
        <w:t>河道流量、流速等</w:t>
      </w:r>
      <w:r>
        <w:rPr>
          <w:rFonts w:hint="default" w:asciiTheme="minorAscii" w:hAnsiTheme="minorAscii" w:eastAsiaTheme="minorEastAsia" w:cstheme="minorEastAsia"/>
          <w:sz w:val="24"/>
          <w:szCs w:val="24"/>
        </w:rPr>
        <w:t>进行实时监测</w:t>
      </w:r>
      <w:r>
        <w:rPr>
          <w:rFonts w:hint="default" w:asciiTheme="minorAscii" w:hAnsiTheme="minorAscii" w:eastAsiaTheme="minorEastAsia" w:cstheme="minorEastAsia"/>
          <w:sz w:val="24"/>
          <w:szCs w:val="24"/>
          <w:lang w:val="en-US" w:eastAsia="zh-CN"/>
        </w:rPr>
        <w:t>并</w:t>
      </w:r>
      <w:r>
        <w:rPr>
          <w:rFonts w:hint="default" w:asciiTheme="minorAscii" w:hAnsiTheme="minorAscii" w:eastAsiaTheme="minorEastAsia" w:cstheme="minorEastAsia"/>
          <w:sz w:val="24"/>
          <w:szCs w:val="24"/>
        </w:rPr>
        <w:t>，通过专用的通讯系统，将监测数据</w:t>
      </w:r>
      <w:r>
        <w:rPr>
          <w:rFonts w:hint="default" w:asciiTheme="minorAscii" w:hAnsiTheme="minorAscii" w:eastAsiaTheme="minorEastAsia" w:cstheme="minorEastAsia"/>
          <w:sz w:val="24"/>
          <w:szCs w:val="24"/>
          <w:lang w:val="en-US" w:eastAsia="zh-CN"/>
        </w:rPr>
        <w:t>回</w:t>
      </w:r>
      <w:r>
        <w:rPr>
          <w:rFonts w:hint="default" w:asciiTheme="minorAscii" w:hAnsiTheme="minorAscii" w:eastAsiaTheme="minorEastAsia" w:cstheme="minorEastAsia"/>
          <w:sz w:val="24"/>
          <w:szCs w:val="24"/>
        </w:rPr>
        <w:t>传至</w:t>
      </w:r>
      <w:r>
        <w:rPr>
          <w:rFonts w:hint="default" w:asciiTheme="minorAscii" w:hAnsiTheme="minorAscii" w:eastAsiaTheme="minorEastAsia" w:cstheme="minorEastAsia"/>
          <w:sz w:val="24"/>
          <w:szCs w:val="24"/>
          <w:lang w:val="en-US" w:eastAsia="zh-CN"/>
        </w:rPr>
        <w:t>平台</w:t>
      </w:r>
      <w:r>
        <w:rPr>
          <w:rFonts w:hint="default" w:asciiTheme="minorAscii" w:hAnsiTheme="minorAscii" w:eastAsiaTheme="minorEastAsia" w:cstheme="minorEastAsia"/>
          <w:sz w:val="24"/>
          <w:szCs w:val="24"/>
        </w:rPr>
        <w:t>，从而实现监控中心对各</w:t>
      </w:r>
      <w:r>
        <w:rPr>
          <w:rFonts w:hint="default" w:asciiTheme="minorAscii" w:hAnsiTheme="minorAscii" w:eastAsiaTheme="minorEastAsia" w:cstheme="minorEastAsia"/>
          <w:sz w:val="24"/>
          <w:szCs w:val="24"/>
          <w:lang w:val="en-US" w:eastAsia="zh-CN"/>
        </w:rPr>
        <w:t>监测点流量的</w:t>
      </w:r>
      <w:r>
        <w:rPr>
          <w:rFonts w:hint="default" w:asciiTheme="minorAscii" w:hAnsiTheme="minorAscii" w:eastAsiaTheme="minorEastAsia" w:cstheme="minorEastAsia"/>
          <w:sz w:val="24"/>
          <w:szCs w:val="24"/>
        </w:rPr>
        <w:t>有效监管。</w:t>
      </w: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可实现对检测取样点降水量、蒸发量、风速、风向、水位、起点距、水深、水温、含沙量等全要素监测；</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全过程远程自动控制，多供电方式，一体化设计布局，无需建设站房；</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流速适应能力强，高、中、低流速均能满足监测，真正实现全时节有效监测；</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缆道自调节功能，稳定控制精度和运行流畅度，有效实现野外长期运行；</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系统拥有多种保护功能，内含具有控制保护强制急停功能、铅鱼挂物保护等，为用户提供安全操作环境；</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多测流模式，满足远程、现场、时间、和变幅数据采集模式，贴合用户工作模式和管理要求。</w:t>
      </w:r>
    </w:p>
    <w:p>
      <w:pPr>
        <w:pStyle w:val="9"/>
        <w:pageBreakBefore w:val="0"/>
        <w:widowControl w:val="0"/>
        <w:kinsoku/>
        <w:wordWrap/>
        <w:overflowPunct/>
        <w:topLinePunct w:val="0"/>
        <w:autoSpaceDE/>
        <w:autoSpaceDN/>
        <w:bidi w:val="0"/>
        <w:spacing w:line="300" w:lineRule="exac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能耗及通信流量</w:t>
      </w:r>
    </w:p>
    <w:p>
      <w:pPr>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ADCP流量监测站满载功耗2200W，日工作时间0.4h；闲时待机功耗10W。接入路由器满载功耗24W，日工作时间24h。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2648"/>
        <w:gridCol w:w="756"/>
        <w:gridCol w:w="769"/>
        <w:gridCol w:w="756"/>
        <w:gridCol w:w="696"/>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48"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2648"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525"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357"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732"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48"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38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2648"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60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510822-04-004</w:t>
            </w:r>
          </w:p>
        </w:tc>
        <w:tc>
          <w:tcPr>
            <w:tcW w:w="2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刘家沟断面流量站</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1692</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c>
          <w:tcPr>
            <w:tcW w:w="60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0.67</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510822-04-006</w:t>
            </w:r>
          </w:p>
        </w:tc>
        <w:tc>
          <w:tcPr>
            <w:tcW w:w="2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紫兰水电站坝后断面流量站</w:t>
            </w:r>
          </w:p>
        </w:tc>
        <w:tc>
          <w:tcPr>
            <w:tcW w:w="756" w:type="dxa"/>
            <w:vAlign w:val="center"/>
          </w:tcPr>
          <w:p>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1692</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c>
          <w:tcPr>
            <w:tcW w:w="60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0.67</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pStyle w:val="9"/>
        <w:bidi w:val="0"/>
        <w:ind w:left="0" w:leftChars="0" w:firstLine="0" w:firstLineChars="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建设点位</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本项目共计在白龙湖风景名胜区建设2套ADCP流量计，详细点位清单见下表：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1573"/>
        <w:gridCol w:w="1533"/>
        <w:gridCol w:w="1419"/>
        <w:gridCol w:w="999"/>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经度</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纬度</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监测分类（大类）</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510822-04-004</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刘家沟断面流量站</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105.52695734</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32.65933229</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境外汇入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510822-04-006</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紫兰水电站坝后断面流量站</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105.65670948</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32.40872335</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断面</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境内流出</w:t>
            </w:r>
          </w:p>
        </w:tc>
      </w:tr>
    </w:tbl>
    <w:p>
      <w:pPr>
        <w:pStyle w:val="9"/>
        <w:bidi w:val="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配置清单</w:t>
      </w:r>
    </w:p>
    <w:tbl>
      <w:tblPr>
        <w:tblStyle w:val="19"/>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2900"/>
        <w:gridCol w:w="640"/>
        <w:gridCol w:w="710"/>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blHeader/>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29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64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71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96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29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巡回驱动系统</w:t>
            </w:r>
          </w:p>
        </w:tc>
        <w:tc>
          <w:tcPr>
            <w:tcW w:w="64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71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9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行车及垂直升降系统</w:t>
            </w:r>
          </w:p>
        </w:tc>
        <w:tc>
          <w:tcPr>
            <w:tcW w:w="64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71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9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视频追踪系统</w:t>
            </w:r>
          </w:p>
        </w:tc>
        <w:tc>
          <w:tcPr>
            <w:tcW w:w="64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71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9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ADCP流量监测控制系统（一体机）</w:t>
            </w:r>
          </w:p>
        </w:tc>
        <w:tc>
          <w:tcPr>
            <w:tcW w:w="64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yellow"/>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2</w:t>
            </w:r>
          </w:p>
        </w:tc>
        <w:tc>
          <w:tcPr>
            <w:tcW w:w="71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yellow"/>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套</w:t>
            </w:r>
          </w:p>
        </w:tc>
        <w:tc>
          <w:tcPr>
            <w:tcW w:w="39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5</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lang w:val="en-US" w:eastAsia="zh-CN" w:bidi="ar-SA"/>
              </w:rPr>
            </w:pPr>
            <w:r>
              <w:rPr>
                <w:rFonts w:hint="default" w:asciiTheme="minorAscii" w:hAnsiTheme="minorAscii" w:eastAsiaTheme="minorEastAsia" w:cstheme="minorEastAsia"/>
                <w:kern w:val="2"/>
                <w:sz w:val="18"/>
                <w:szCs w:val="18"/>
                <w:lang w:val="en-US" w:eastAsia="zh-CN" w:bidi="ar-SA"/>
              </w:rPr>
              <w:t>ADCP(含铅鱼总成)</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套</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钢塔（5m）</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4</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座</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7</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钢塔地笼</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4</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副</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kern w:val="2"/>
                <w:sz w:val="18"/>
                <w:szCs w:val="18"/>
                <w:vertAlign w:val="baseline"/>
                <w:lang w:val="en-US" w:eastAsia="zh-CN" w:bidi="ar-SA"/>
              </w:rPr>
              <w:t>安装立杆及支架</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套</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lang w:val="en-US" w:eastAsia="zh-CN" w:bidi="ar-SA"/>
              </w:rPr>
            </w:pPr>
            <w:r>
              <w:rPr>
                <w:rFonts w:hint="default" w:asciiTheme="minorAscii" w:hAnsiTheme="minorAscii" w:eastAsiaTheme="minorEastAsia" w:cstheme="minorEastAsia"/>
                <w:sz w:val="18"/>
                <w:szCs w:val="18"/>
                <w:lang w:val="en-US" w:eastAsia="zh-CN"/>
              </w:rPr>
              <w:t>接入路由器</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户外防水网络音柱（</w:t>
            </w:r>
            <w:r>
              <w:rPr>
                <w:rFonts w:hint="default" w:asciiTheme="minorAscii" w:hAnsiTheme="minorAscii" w:eastAsiaTheme="minorEastAsia" w:cstheme="minorEastAsia"/>
                <w:sz w:val="18"/>
                <w:szCs w:val="18"/>
                <w:lang w:val="en-US" w:eastAsia="zh-CN"/>
              </w:rPr>
              <w:t>3</w:t>
            </w:r>
            <w:r>
              <w:rPr>
                <w:rFonts w:hint="default" w:asciiTheme="minorAscii" w:hAnsiTheme="minorAscii" w:eastAsiaTheme="minorEastAsia" w:cstheme="minorEastAsia"/>
                <w:sz w:val="18"/>
                <w:szCs w:val="18"/>
              </w:rPr>
              <w:t>0W）</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个</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lang w:val="en-US" w:eastAsia="zh-CN" w:bidi="ar-SA"/>
              </w:rPr>
              <w:t>一体化风光储能柱（8.5m）</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根</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12</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柱（杆）挂设备箱</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个</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13</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地笼</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副</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14</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混凝土基础</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墩</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防雷接地装置</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手孔井</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个</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设备侧电源线（3*1.5）</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200</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m</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18</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六类网线</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100</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m</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19</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RS485通讯电缆</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100</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m</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7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w:t>
            </w:r>
          </w:p>
        </w:tc>
        <w:tc>
          <w:tcPr>
            <w:tcW w:w="29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地埋线缆保护管</w:t>
            </w:r>
          </w:p>
        </w:tc>
        <w:tc>
          <w:tcPr>
            <w:tcW w:w="6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100</w:t>
            </w:r>
          </w:p>
        </w:tc>
        <w:tc>
          <w:tcPr>
            <w:tcW w:w="71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m</w:t>
            </w:r>
          </w:p>
        </w:tc>
        <w:tc>
          <w:tcPr>
            <w:tcW w:w="396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bl>
    <w:p>
      <w:pPr>
        <w:pStyle w:val="5"/>
        <w:keepNext/>
        <w:keepLines/>
        <w:pageBreakBefore w:val="0"/>
        <w:widowControl w:val="0"/>
        <w:kinsoku/>
        <w:wordWrap/>
        <w:overflowPunct/>
        <w:topLinePunct w:val="0"/>
        <w:autoSpaceDE/>
        <w:autoSpaceDN/>
        <w:bidi w:val="0"/>
        <w:adjustRightInd/>
        <w:snapToGrid/>
        <w:spacing w:before="333" w:beforeLines="100"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固定式水质监测站配套视频监控建设</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视频监控摄像机1【共享交通卡口数据，本项不建，为确保方案完整性保留内容】</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视频监控摄像机1</w:t>
      </w: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车</w:t>
      </w:r>
      <w:r>
        <w:rPr>
          <w:rFonts w:hint="default" w:asciiTheme="minorAscii" w:hAnsiTheme="minorAscii" w:eastAsiaTheme="minorEastAsia" w:cstheme="minorEastAsia"/>
          <w:sz w:val="24"/>
          <w:szCs w:val="24"/>
          <w:lang w:val="en-US" w:eastAsia="zh-CN"/>
        </w:rPr>
        <w:t>辆/人脸感知、</w:t>
      </w:r>
      <w:r>
        <w:rPr>
          <w:rFonts w:hint="default" w:asciiTheme="minorAscii" w:hAnsiTheme="minorAscii" w:eastAsiaTheme="minorEastAsia" w:cstheme="minorEastAsia"/>
          <w:sz w:val="24"/>
          <w:szCs w:val="24"/>
        </w:rPr>
        <w:t>流量分析</w:t>
      </w:r>
      <w:r>
        <w:rPr>
          <w:rFonts w:hint="default" w:asciiTheme="minorAscii" w:hAnsiTheme="minorAscii" w:eastAsiaTheme="minorEastAsia" w:cstheme="minorEastAsia"/>
          <w:sz w:val="24"/>
          <w:szCs w:val="24"/>
          <w:lang w:val="en-US" w:eastAsia="zh-CN"/>
        </w:rPr>
        <w:t>能力，</w:t>
      </w:r>
      <w:r>
        <w:rPr>
          <w:rFonts w:hint="default" w:asciiTheme="minorAscii" w:hAnsiTheme="minorAscii" w:eastAsiaTheme="minorEastAsia" w:cstheme="minorEastAsia"/>
          <w:sz w:val="24"/>
          <w:szCs w:val="24"/>
        </w:rPr>
        <w:t>是一种基于计算机视觉和图像处理技术的智能监测系统，通过部署在道路关键节点的摄像头设备，实时采集交通流数据</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人流数据</w:t>
      </w:r>
      <w:r>
        <w:rPr>
          <w:rFonts w:hint="default" w:asciiTheme="minorAscii" w:hAnsiTheme="minorAscii" w:eastAsiaTheme="minorEastAsia" w:cstheme="minorEastAsia"/>
          <w:sz w:val="24"/>
          <w:szCs w:val="24"/>
        </w:rPr>
        <w:t>并进行分析，为</w:t>
      </w:r>
      <w:r>
        <w:rPr>
          <w:rFonts w:hint="default" w:asciiTheme="minorAscii" w:hAnsiTheme="minorAscii" w:eastAsiaTheme="minorEastAsia" w:cstheme="minorEastAsia"/>
          <w:sz w:val="24"/>
          <w:szCs w:val="24"/>
          <w:lang w:val="en-US" w:eastAsia="zh-CN"/>
        </w:rPr>
        <w:t>白龙湖风景名胜区管理局实时了解景区车流、人流状况及相关管理决策提供数据支撑</w:t>
      </w:r>
      <w:r>
        <w:rPr>
          <w:rFonts w:hint="default" w:asciiTheme="minorAscii" w:hAnsiTheme="minorAscii" w:eastAsiaTheme="minorEastAsia" w:cstheme="minorEastAsia"/>
          <w:sz w:val="24"/>
          <w:szCs w:val="24"/>
        </w:rPr>
        <w:t>。</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点位选取原则</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选择进出白龙湖风景名胜区的主要道路关键节点；</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选择车流量及人流量集中的地点；</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选择覆盖范围广、无遮挡的地段；</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选</w:t>
      </w:r>
      <w:r>
        <w:rPr>
          <w:rFonts w:hint="default" w:asciiTheme="minorAscii" w:hAnsiTheme="minorAscii" w:eastAsiaTheme="minorEastAsia" w:cstheme="minorEastAsia"/>
          <w:sz w:val="24"/>
          <w:szCs w:val="24"/>
          <w:lang w:val="en-US" w:eastAsia="zh-CN"/>
        </w:rPr>
        <w:t>择运营商4G/5G信号已覆盖、电力供应有保障</w:t>
      </w:r>
      <w:r>
        <w:rPr>
          <w:rFonts w:hint="default" w:asciiTheme="minorAscii" w:hAnsiTheme="minorAscii" w:eastAsiaTheme="minorEastAsia" w:cstheme="minorEastAsia"/>
          <w:sz w:val="24"/>
          <w:szCs w:val="24"/>
        </w:rPr>
        <w:t>的区域</w:t>
      </w:r>
      <w:r>
        <w:rPr>
          <w:rFonts w:hint="default" w:asciiTheme="minorAscii" w:hAnsiTheme="minorAscii" w:eastAsiaTheme="minorEastAsia" w:cstheme="minorEastAsia"/>
          <w:sz w:val="24"/>
          <w:szCs w:val="24"/>
          <w:lang w:eastAsia="zh-CN"/>
        </w:rPr>
        <w:t>。</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系统构成</w:t>
      </w:r>
    </w:p>
    <w:p>
      <w:pPr>
        <w:bidi w:val="0"/>
        <w:ind w:left="0" w:leftChars="0" w:firstLine="0" w:firstLineChars="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5274310" cy="2520950"/>
            <wp:effectExtent l="0" t="0" r="13970" b="8890"/>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16"/>
                    <a:stretch>
                      <a:fillRect/>
                    </a:stretch>
                  </pic:blipFill>
                  <pic:spPr>
                    <a:xfrm>
                      <a:off x="0" y="0"/>
                      <a:ext cx="5274310" cy="2520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167" w:afterLines="5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图14 视频监控摄像机1车流量分析系统构成图</w:t>
      </w:r>
    </w:p>
    <w:p>
      <w:pPr>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系统由</w:t>
      </w:r>
      <w:r>
        <w:rPr>
          <w:rFonts w:hint="default" w:asciiTheme="minorAscii" w:hAnsiTheme="minorAscii" w:eastAsiaTheme="minorEastAsia" w:cstheme="minorEastAsia"/>
          <w:sz w:val="24"/>
          <w:szCs w:val="24"/>
          <w:vertAlign w:val="baseline"/>
          <w:lang w:val="en-US" w:eastAsia="zh-CN"/>
        </w:rPr>
        <w:t>车牌识别摄像机</w:t>
      </w:r>
      <w:r>
        <w:rPr>
          <w:rFonts w:hint="default" w:asciiTheme="minorAscii" w:hAnsiTheme="minorAscii" w:eastAsiaTheme="minorEastAsia" w:cstheme="minorEastAsia"/>
          <w:sz w:val="24"/>
          <w:szCs w:val="24"/>
          <w:lang w:val="en-US" w:eastAsia="zh-CN"/>
        </w:rPr>
        <w:t>、</w:t>
      </w:r>
      <w:r>
        <w:rPr>
          <w:rFonts w:hint="default" w:asciiTheme="minorAscii" w:hAnsiTheme="minorAscii" w:eastAsiaTheme="minorEastAsia" w:cstheme="minorEastAsia"/>
          <w:sz w:val="24"/>
          <w:szCs w:val="24"/>
        </w:rPr>
        <w:t>供电系统</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等组成。</w:t>
      </w:r>
      <w:r>
        <w:rPr>
          <w:rFonts w:hint="default" w:asciiTheme="minorAscii" w:hAnsiTheme="minorAscii" w:eastAsiaTheme="minorEastAsia" w:cstheme="minorEastAsia"/>
          <w:sz w:val="24"/>
          <w:szCs w:val="24"/>
          <w:vertAlign w:val="baseline"/>
          <w:lang w:val="en-US" w:eastAsia="zh-CN"/>
        </w:rPr>
        <w:t>车牌识别摄像机</w:t>
      </w:r>
      <w:r>
        <w:rPr>
          <w:rFonts w:hint="default" w:asciiTheme="minorAscii" w:hAnsiTheme="minorAscii" w:eastAsiaTheme="minorEastAsia" w:cstheme="minorEastAsia"/>
          <w:sz w:val="24"/>
          <w:szCs w:val="24"/>
          <w:lang w:val="en-US" w:eastAsia="zh-CN"/>
        </w:rPr>
        <w:t>实现对车辆、行人的实时监测；</w:t>
      </w:r>
      <w:r>
        <w:rPr>
          <w:rFonts w:hint="default" w:asciiTheme="minorAscii" w:hAnsiTheme="minorAscii" w:eastAsiaTheme="minorEastAsia" w:cstheme="minorEastAsia"/>
          <w:sz w:val="24"/>
          <w:szCs w:val="24"/>
        </w:rPr>
        <w:t>供电</w:t>
      </w:r>
      <w:r>
        <w:rPr>
          <w:rFonts w:hint="default" w:asciiTheme="minorAscii" w:hAnsiTheme="minorAscii" w:eastAsiaTheme="minorEastAsia" w:cstheme="minorEastAsia"/>
          <w:sz w:val="24"/>
          <w:szCs w:val="24"/>
          <w:lang w:val="en-US" w:eastAsia="zh-CN"/>
        </w:rPr>
        <w:t>系统由一体化光储能柱组成</w:t>
      </w:r>
      <w:r>
        <w:rPr>
          <w:rFonts w:hint="default" w:asciiTheme="minorAscii" w:hAnsiTheme="minorAscii" w:eastAsiaTheme="minorEastAsia" w:cstheme="minorEastAsia"/>
          <w:sz w:val="24"/>
          <w:szCs w:val="24"/>
        </w:rPr>
        <w:t>，为相应设备供电；</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完成数据</w:t>
      </w:r>
      <w:r>
        <w:rPr>
          <w:rFonts w:hint="default" w:asciiTheme="minorAscii" w:hAnsiTheme="minorAscii" w:eastAsiaTheme="minorEastAsia" w:cstheme="minorEastAsia"/>
          <w:sz w:val="24"/>
          <w:szCs w:val="24"/>
          <w:lang w:val="en-US" w:eastAsia="zh-CN"/>
        </w:rPr>
        <w:t>与视频</w:t>
      </w:r>
      <w:r>
        <w:rPr>
          <w:rFonts w:hint="default" w:asciiTheme="minorAscii" w:hAnsiTheme="minorAscii" w:eastAsiaTheme="minorEastAsia" w:cstheme="minorEastAsia"/>
          <w:sz w:val="24"/>
          <w:szCs w:val="24"/>
        </w:rPr>
        <w:t>的</w:t>
      </w:r>
      <w:r>
        <w:rPr>
          <w:rFonts w:hint="default" w:asciiTheme="minorAscii" w:hAnsiTheme="minorAscii" w:eastAsiaTheme="minorEastAsia" w:cstheme="minorEastAsia"/>
          <w:sz w:val="24"/>
          <w:szCs w:val="24"/>
          <w:lang w:val="en-US" w:eastAsia="zh-CN"/>
        </w:rPr>
        <w:t>传输</w:t>
      </w:r>
      <w:r>
        <w:rPr>
          <w:rFonts w:hint="default" w:asciiTheme="minorAscii" w:hAnsiTheme="minorAscii" w:eastAsiaTheme="minorEastAsia" w:cstheme="minorEastAsia"/>
          <w:sz w:val="24"/>
          <w:szCs w:val="24"/>
        </w:rPr>
        <w:t>，使在线监测的数据</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视频</w:t>
      </w:r>
      <w:r>
        <w:rPr>
          <w:rFonts w:hint="default" w:asciiTheme="minorAscii" w:hAnsiTheme="minorAscii" w:eastAsiaTheme="minorEastAsia" w:cstheme="minorEastAsia"/>
          <w:sz w:val="24"/>
          <w:szCs w:val="24"/>
        </w:rPr>
        <w:t>通过</w:t>
      </w:r>
      <w:r>
        <w:rPr>
          <w:rFonts w:hint="default" w:asciiTheme="minorAscii" w:hAnsiTheme="minorAscii" w:eastAsiaTheme="minorEastAsia" w:cstheme="minorEastAsia"/>
          <w:sz w:val="24"/>
          <w:szCs w:val="24"/>
          <w:lang w:val="en-US" w:eastAsia="zh-CN"/>
        </w:rPr>
        <w:t>4G/5G网络或者有线网络发布</w:t>
      </w:r>
      <w:r>
        <w:rPr>
          <w:rFonts w:hint="default" w:asciiTheme="minorAscii" w:hAnsiTheme="minorAscii" w:eastAsiaTheme="minorEastAsia" w:cstheme="minorEastAsia"/>
          <w:sz w:val="24"/>
          <w:szCs w:val="24"/>
        </w:rPr>
        <w:t>到监管平台</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由后台根据前端感知数据实现对车辆及行人的流量数据分析</w:t>
      </w:r>
      <w:r>
        <w:rPr>
          <w:rFonts w:hint="default" w:asciiTheme="minorAscii" w:hAnsiTheme="minorAscii" w:eastAsiaTheme="minorEastAsia" w:cstheme="minorEastAsia"/>
          <w:sz w:val="24"/>
          <w:szCs w:val="24"/>
        </w:rPr>
        <w:t>。</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通过部署在道路关键节点的摄像头设备，实时采集交通流数据</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人流数据，</w:t>
      </w:r>
      <w:r>
        <w:rPr>
          <w:rFonts w:hint="default" w:asciiTheme="minorAscii" w:hAnsiTheme="minorAscii" w:eastAsiaTheme="minorEastAsia" w:cstheme="minorEastAsia"/>
          <w:sz w:val="24"/>
          <w:szCs w:val="24"/>
        </w:rPr>
        <w:t>并</w:t>
      </w:r>
      <w:r>
        <w:rPr>
          <w:rFonts w:hint="default" w:asciiTheme="minorAscii" w:hAnsiTheme="minorAscii" w:eastAsiaTheme="minorEastAsia" w:cstheme="minorEastAsia"/>
          <w:sz w:val="24"/>
          <w:szCs w:val="24"/>
          <w:lang w:val="en-US" w:eastAsia="zh-CN"/>
        </w:rPr>
        <w:t>通过平台进行后台分析</w:t>
      </w:r>
      <w:r>
        <w:rPr>
          <w:rFonts w:hint="default" w:asciiTheme="minorAscii" w:hAnsiTheme="minorAscii" w:eastAsiaTheme="minorEastAsia" w:cstheme="minorEastAsia"/>
          <w:sz w:val="24"/>
          <w:szCs w:val="24"/>
        </w:rPr>
        <w:t>，从而实现对各</w:t>
      </w:r>
      <w:r>
        <w:rPr>
          <w:rFonts w:hint="default" w:asciiTheme="minorAscii" w:hAnsiTheme="minorAscii" w:eastAsiaTheme="minorEastAsia" w:cstheme="minorEastAsia"/>
          <w:sz w:val="24"/>
          <w:szCs w:val="24"/>
          <w:lang w:val="en-US" w:eastAsia="zh-CN"/>
        </w:rPr>
        <w:t>车辆、人员流量的</w:t>
      </w:r>
      <w:r>
        <w:rPr>
          <w:rFonts w:hint="default" w:asciiTheme="minorAscii" w:hAnsiTheme="minorAscii" w:eastAsiaTheme="minorEastAsia" w:cstheme="minorEastAsia"/>
          <w:sz w:val="24"/>
          <w:szCs w:val="24"/>
        </w:rPr>
        <w:t>有效监管。</w:t>
      </w: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16"/>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支持人脸识别、人脸比对、人脸抓拍，至少支持人体结构化（至少具有上衣颜色、下装颜色、性别、戴眼镜、背包、拎东西、戴帽子、戴口罩、长短袖、裤裙、发型属性识别）、非机动车结构化（至少具有上衣颜色、性别、戴眼镜、背包、戴帽子、戴口罩、长短袖、发型、骑车类型、骑车人数属性识别）、机动车结构化（至少具有车牌、车牌颜色、车身颜色、车型、车辆子品牌属性识别）功能</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6"/>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高精度车牌捕获与识别功能，在识别车牌号码的同时，摄像机还能将车牌信息与抓拍的时间、地点、车辆图像等相关信息进行关联整合；例如，记录车辆进入监控区域的具体时间、行驶方向以及对应的视频片段，形成完整的车辆通行记录；</w:t>
      </w:r>
    </w:p>
    <w:p>
      <w:pPr>
        <w:keepNext w:val="0"/>
        <w:keepLines w:val="0"/>
        <w:pageBreakBefore w:val="0"/>
        <w:widowControl w:val="0"/>
        <w:numPr>
          <w:ilvl w:val="0"/>
          <w:numId w:val="16"/>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前端存储与后端云存储相互配合，前端配置内存卡，存储时长不低于5天，后端存储不低于30天，保障数据安全；</w:t>
      </w:r>
    </w:p>
    <w:p>
      <w:pPr>
        <w:keepNext w:val="0"/>
        <w:keepLines w:val="0"/>
        <w:pageBreakBefore w:val="0"/>
        <w:widowControl w:val="0"/>
        <w:numPr>
          <w:ilvl w:val="0"/>
          <w:numId w:val="16"/>
        </w:numPr>
        <w:kinsoku/>
        <w:wordWrap/>
        <w:overflowPunct/>
        <w:topLinePunct w:val="0"/>
        <w:autoSpaceDE/>
        <w:autoSpaceDN/>
        <w:bidi w:val="0"/>
        <w:adjustRightInd w:val="0"/>
        <w:snapToGrid w:val="0"/>
        <w:spacing w:line="300" w:lineRule="exact"/>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具备按时间、车辆、人员结合的流量分析功能、流量趋势预测、流量异常报警等功能。</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能耗及通信流量</w:t>
      </w:r>
    </w:p>
    <w:p>
      <w:pPr>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车牌识别摄像机满载功耗15W，日工作时间24h；接入路由器满载功耗24W，日工作时间24h。户外防水网络音柱功耗30W，日均工作时间2h。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2646"/>
        <w:gridCol w:w="756"/>
        <w:gridCol w:w="768"/>
        <w:gridCol w:w="756"/>
        <w:gridCol w:w="696"/>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48"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264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524"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356"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732"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48"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38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264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510822-06-001</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宝珠寺东岸车流量分析（进）</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69</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996</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510822-06-002</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宝珠寺东岸车流量分析（出）</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69</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996</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510822-06-003</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宝珠寺西岸车流量分析（进）</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69</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996</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510822-06-004</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宝珠寺西岸车流量分析（出）</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69</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996</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510822-06-005</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沙州镇车流量分析（进）</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69</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996</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510822-06-006</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沙州镇车流量分析（出）</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69</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996</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pStyle w:val="8"/>
        <w:keepNext/>
        <w:keepLines/>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建设点位</w:t>
      </w:r>
    </w:p>
    <w:p>
      <w:pPr>
        <w:keepNext w:val="0"/>
        <w:keepLines w:val="0"/>
        <w:pageBreakBefore w:val="0"/>
        <w:widowControl w:val="0"/>
        <w:kinsoku/>
        <w:wordWrap/>
        <w:overflowPunct/>
        <w:topLinePunct w:val="0"/>
        <w:autoSpaceDE/>
        <w:autoSpaceDN/>
        <w:bidi w:val="0"/>
        <w:adjustRightInd/>
        <w:snapToGrid/>
        <w:spacing w:after="84" w:afterLines="2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本项目共计在白龙湖风景名胜区212国道上建设4套车辆感知、流量分析设备；在宝珠寺电站大坝东岸建设2套车辆感知、流量分析设备，详细点位清单见下表：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1573"/>
        <w:gridCol w:w="1533"/>
        <w:gridCol w:w="1419"/>
        <w:gridCol w:w="999"/>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blHeader/>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经度</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纬度</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监测分类（大类）</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510822-06-001</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宝珠寺东岸车流量分析（进）</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105.61693180</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32.51849284</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车流分析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510822-06-002</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宝珠寺东岸车流量分析（出）</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105.61693180</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32.51849284</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车流分析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510822-06-003</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宝珠寺西岸车流量分析（进）</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105.61177938</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32.51449609</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车流分析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510822-06-004</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宝珠寺西岸车流量分析（出）</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105.61177938</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32.51449609</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车流分析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510822-06-005</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沙州镇车流量分析（进）</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105.47211304</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 xml:space="preserve">32.67545571 </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车流分析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1386" w:type="dxa"/>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510822-06-006</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沙州镇车流量分析（出）</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 xml:space="preserve">105.47211304 </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 xml:space="preserve">32.67545571 </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车流分析</w:t>
            </w:r>
          </w:p>
        </w:tc>
      </w:tr>
    </w:tbl>
    <w:p>
      <w:pPr>
        <w:pStyle w:val="8"/>
        <w:keepNext w:val="0"/>
        <w:keepLines w:val="0"/>
        <w:pageBreakBefore w:val="0"/>
        <w:widowControl w:val="0"/>
        <w:kinsoku/>
        <w:wordWrap/>
        <w:overflowPunct/>
        <w:topLinePunct w:val="0"/>
        <w:autoSpaceDE/>
        <w:autoSpaceDN/>
        <w:bidi w:val="0"/>
        <w:adjustRightInd w:val="0"/>
        <w:snapToGrid/>
        <w:spacing w:before="333" w:beforeLines="100"/>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配置清单</w:t>
      </w:r>
    </w:p>
    <w:tbl>
      <w:tblPr>
        <w:tblStyle w:val="19"/>
        <w:tblW w:w="9011"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289"/>
        <w:gridCol w:w="804"/>
        <w:gridCol w:w="744"/>
        <w:gridCol w:w="3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blHeader/>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视频监控摄像机1</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328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闪存卡</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张</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应急存储，保存时长2.5天以上。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w:t>
            </w:r>
          </w:p>
        </w:tc>
        <w:tc>
          <w:tcPr>
            <w:tcW w:w="328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接入路由器</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w:t>
            </w:r>
          </w:p>
        </w:tc>
        <w:tc>
          <w:tcPr>
            <w:tcW w:w="328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户外防水网络音柱（</w:t>
            </w:r>
            <w:r>
              <w:rPr>
                <w:rFonts w:hint="default" w:asciiTheme="minorAscii" w:hAnsiTheme="minorAscii" w:eastAsiaTheme="minorEastAsia" w:cstheme="minorEastAsia"/>
                <w:sz w:val="18"/>
                <w:szCs w:val="18"/>
                <w:lang w:val="en-US" w:eastAsia="zh-CN"/>
              </w:rPr>
              <w:t>3</w:t>
            </w:r>
            <w:r>
              <w:rPr>
                <w:rFonts w:hint="default" w:asciiTheme="minorAscii" w:hAnsiTheme="minorAscii" w:eastAsiaTheme="minorEastAsia" w:cstheme="minorEastAsia"/>
                <w:sz w:val="18"/>
                <w:szCs w:val="18"/>
              </w:rPr>
              <w:t>0W）</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5</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一体化风光储能柱（8.5m）</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根</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横臂（6m）</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根</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7</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柱（杆）挂设备箱</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地笼</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副</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混凝土基础</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墩</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w:t>
            </w:r>
          </w:p>
        </w:tc>
        <w:tc>
          <w:tcPr>
            <w:tcW w:w="328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防雷接地装置</w:t>
            </w:r>
          </w:p>
        </w:tc>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74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4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手孔井</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12</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设备侧电源线（3*1.5）</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150</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米</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13</w:t>
            </w:r>
          </w:p>
        </w:tc>
        <w:tc>
          <w:tcPr>
            <w:tcW w:w="328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六类网线</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90</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米</w:t>
            </w:r>
          </w:p>
        </w:tc>
        <w:tc>
          <w:tcPr>
            <w:tcW w:w="345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bl>
    <w:p>
      <w:pPr>
        <w:pStyle w:val="7"/>
        <w:keepNext w:val="0"/>
        <w:keepLines w:val="0"/>
        <w:pageBreakBefore w:val="0"/>
        <w:widowControl w:val="0"/>
        <w:kinsoku/>
        <w:wordWrap/>
        <w:overflowPunct/>
        <w:topLinePunct w:val="0"/>
        <w:autoSpaceDE/>
        <w:autoSpaceDN/>
        <w:bidi w:val="0"/>
        <w:adjustRightInd w:val="0"/>
        <w:snapToGrid/>
        <w:spacing w:before="333" w:beforeLines="100" w:line="300" w:lineRule="exac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视频监控摄像机2/3/4</w:t>
      </w:r>
    </w:p>
    <w:p>
      <w:pPr>
        <w:pStyle w:val="8"/>
        <w:pageBreakBefore w:val="0"/>
        <w:widowControl w:val="0"/>
        <w:kinsoku/>
        <w:wordWrap/>
        <w:overflowPunct/>
        <w:topLinePunct w:val="0"/>
        <w:autoSpaceDE/>
        <w:autoSpaceDN/>
        <w:bidi w:val="0"/>
        <w:snapToGrid/>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在白龙湖重点</w:t>
      </w:r>
      <w:r>
        <w:rPr>
          <w:rFonts w:hint="default" w:asciiTheme="minorAscii" w:hAnsiTheme="minorAscii" w:eastAsiaTheme="minorEastAsia" w:cstheme="minorEastAsia"/>
          <w:sz w:val="24"/>
          <w:szCs w:val="24"/>
        </w:rPr>
        <w:t>自然生态景观</w:t>
      </w:r>
      <w:r>
        <w:rPr>
          <w:rFonts w:hint="default" w:asciiTheme="minorAscii" w:hAnsiTheme="minorAscii" w:eastAsiaTheme="minorEastAsia" w:cstheme="minorEastAsia"/>
          <w:sz w:val="24"/>
          <w:szCs w:val="24"/>
          <w:lang w:val="en-US" w:eastAsia="zh-CN"/>
        </w:rPr>
        <w:t>部署视频监控摄像机2（即400万像素高点远距离云台摄像机）、视频监控摄像机3（即热成像双光谱中载云台摄像机）及视频监控摄像机4（即2400万像素高点AR全景摄像机），实现高精度、高清晰度、全方位、全天候监测，为白龙湖风景名胜区管理部门实时全方位掌握自然</w:t>
      </w:r>
      <w:r>
        <w:rPr>
          <w:rFonts w:hint="default" w:asciiTheme="minorAscii" w:hAnsiTheme="minorAscii" w:eastAsiaTheme="minorEastAsia" w:cstheme="minorEastAsia"/>
          <w:sz w:val="24"/>
          <w:szCs w:val="24"/>
        </w:rPr>
        <w:t>景观</w:t>
      </w:r>
      <w:r>
        <w:rPr>
          <w:rFonts w:hint="default" w:asciiTheme="minorAscii" w:hAnsiTheme="minorAscii" w:eastAsiaTheme="minorEastAsia" w:cstheme="minorEastAsia"/>
          <w:sz w:val="24"/>
          <w:szCs w:val="24"/>
          <w:lang w:val="en-US" w:eastAsia="zh-CN"/>
        </w:rPr>
        <w:t>生态变化提供点面结合的可视化数据支撑</w:t>
      </w:r>
      <w:r>
        <w:rPr>
          <w:rFonts w:hint="default" w:asciiTheme="minorAscii" w:hAnsiTheme="minorAscii"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视频监控摄像机2</w:t>
      </w:r>
      <w:r>
        <w:rPr>
          <w:rFonts w:hint="default" w:asciiTheme="minorAscii" w:hAnsiTheme="minorAscii" w:eastAsiaTheme="minorEastAsia" w:cstheme="minorEastAsia"/>
          <w:b w:val="0"/>
          <w:bCs w:val="0"/>
          <w:sz w:val="24"/>
          <w:szCs w:val="24"/>
          <w:lang w:val="en-US" w:eastAsia="zh-CN"/>
        </w:rPr>
        <w:t>（即400万高点远距离云台摄像机）</w:t>
      </w:r>
      <w:r>
        <w:rPr>
          <w:rFonts w:hint="default" w:asciiTheme="minorAscii" w:hAnsiTheme="minorAscii" w:eastAsiaTheme="minorEastAsia" w:cstheme="minorEastAsia"/>
          <w:b/>
          <w:bCs/>
          <w:sz w:val="24"/>
          <w:szCs w:val="24"/>
          <w:lang w:val="en-US" w:eastAsia="zh-CN"/>
        </w:rPr>
        <w:t>点位</w:t>
      </w:r>
      <w:r>
        <w:rPr>
          <w:rFonts w:hint="default" w:asciiTheme="minorAscii" w:hAnsiTheme="minorAscii" w:eastAsiaTheme="minorEastAsia" w:cstheme="minorEastAsia"/>
          <w:sz w:val="24"/>
          <w:szCs w:val="24"/>
          <w:lang w:val="en-US" w:eastAsia="zh-CN"/>
        </w:rPr>
        <w:t>兼顾远距离监测需求，检测距离不小于8km，夜晚能够获取彩色图像，以AR全景视频为基础构建AR实景应用，并结合前端多维感知监测和业务系统数据，实现高低视频点位联动、业务标签叠加、细节特征观察和全景画面展示，实时掌握区域内的环境安全状况、水质状况和报警信息，支撑日常监管和研判分析。高点远距离云台摄像机支持全景画面与细节球机联动功能，即通过框选全景摄像机画面任意位置，细节跟踪摄像机可自动通过云台调整与变焦，将该区域置于画面中心；支持目标自动跟踪功能，通过设置智能事件规则，对设定区域内触发事件的运动目标在设定的跟踪时间内进行持续稳定跟踪。并可在跟踪过程中手动切换跟踪目标；支持手动选择跟踪目标，在设定跟踪时间内进行持续稳定跟踪。</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视频监控摄像机3</w:t>
      </w:r>
      <w:r>
        <w:rPr>
          <w:rFonts w:hint="default" w:asciiTheme="minorAscii" w:hAnsiTheme="minorAscii" w:eastAsiaTheme="minorEastAsia" w:cstheme="minorEastAsia"/>
          <w:b w:val="0"/>
          <w:bCs w:val="0"/>
          <w:sz w:val="24"/>
          <w:szCs w:val="24"/>
          <w:lang w:val="en-US" w:eastAsia="zh-CN"/>
        </w:rPr>
        <w:t>（即热成像双光谱中载云台摄像机）</w:t>
      </w:r>
      <w:r>
        <w:rPr>
          <w:rFonts w:hint="default" w:asciiTheme="minorAscii" w:hAnsiTheme="minorAscii" w:eastAsiaTheme="minorEastAsia" w:cstheme="minorEastAsia"/>
          <w:b/>
          <w:bCs/>
          <w:sz w:val="24"/>
          <w:szCs w:val="24"/>
          <w:lang w:val="en-US" w:eastAsia="zh-CN"/>
        </w:rPr>
        <w:t>点位</w:t>
      </w:r>
      <w:r>
        <w:rPr>
          <w:rFonts w:hint="default" w:asciiTheme="minorAscii" w:hAnsiTheme="minorAscii" w:eastAsiaTheme="minorEastAsia" w:cstheme="minorEastAsia"/>
          <w:sz w:val="24"/>
          <w:szCs w:val="24"/>
          <w:lang w:val="en-US" w:eastAsia="zh-CN"/>
        </w:rPr>
        <w:t>集热成像与可见光于一体，具备3D定位功能，通过客户端/IE可实现点击放大和未授权目标智能跟随；具备区域扫描、方位设定、烟火区域屏蔽和热成像目标检测功能，可联动可见光通道对未授权人员进行目标跟随；支持入侵侦测、越界侦测、进入区域侦测、离开区域侦测功能、渔船检测，船流量统计和防挖沙船只检测，支持大型车辆检测，支持废气检测，适用于森林防火、秸秆禁烧、防挖沙、禁捕和资源保护等场景，为湖区生态环境保护提供强大助力。</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视频监控摄像机4</w:t>
      </w:r>
      <w:r>
        <w:rPr>
          <w:rFonts w:hint="default" w:asciiTheme="minorAscii" w:hAnsiTheme="minorAscii" w:eastAsiaTheme="minorEastAsia" w:cstheme="minorEastAsia"/>
          <w:b w:val="0"/>
          <w:bCs w:val="0"/>
          <w:sz w:val="24"/>
          <w:szCs w:val="24"/>
          <w:lang w:val="en-US" w:eastAsia="zh-CN"/>
        </w:rPr>
        <w:t>（即2400万高点AR全景摄像机）</w:t>
      </w:r>
      <w:r>
        <w:rPr>
          <w:rFonts w:hint="default" w:asciiTheme="minorAscii" w:hAnsiTheme="minorAscii" w:eastAsiaTheme="minorEastAsia" w:cstheme="minorEastAsia"/>
          <w:b/>
          <w:bCs/>
          <w:sz w:val="24"/>
          <w:szCs w:val="24"/>
          <w:lang w:val="en-US" w:eastAsia="zh-CN"/>
        </w:rPr>
        <w:t>点位</w:t>
      </w:r>
      <w:r>
        <w:rPr>
          <w:rFonts w:hint="default" w:asciiTheme="minorAscii" w:hAnsiTheme="minorAscii" w:eastAsiaTheme="minorEastAsia" w:cstheme="minorEastAsia"/>
          <w:sz w:val="24"/>
          <w:szCs w:val="24"/>
          <w:lang w:val="en-US" w:eastAsia="zh-CN"/>
        </w:rPr>
        <w:t>通过AR全景视频为基础、构建AR实景应用，结合前端多维感知监测和业务系统数据，实现高低视频点位联动、业务标签叠加、细节特征观察和全景画面展示，实时掌握区域内的环境安全状况、水质状况和报警信息，支撑日常监管和研判分析。</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点位选取原则</w:t>
      </w:r>
    </w:p>
    <w:p>
      <w:pPr>
        <w:keepNext w:val="0"/>
        <w:keepLines w:val="0"/>
        <w:pageBreakBefore w:val="0"/>
        <w:widowControl w:val="0"/>
        <w:numPr>
          <w:ilvl w:val="0"/>
          <w:numId w:val="17"/>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优先覆盖生态价值高的区域，确保能实时掌握关键景点生态及环境变化；</w:t>
      </w:r>
    </w:p>
    <w:p>
      <w:pPr>
        <w:keepNext w:val="0"/>
        <w:keepLines w:val="0"/>
        <w:pageBreakBefore w:val="0"/>
        <w:widowControl w:val="0"/>
        <w:numPr>
          <w:ilvl w:val="0"/>
          <w:numId w:val="17"/>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覆盖</w:t>
      </w:r>
      <w:r>
        <w:rPr>
          <w:rFonts w:hint="default" w:asciiTheme="minorAscii" w:hAnsiTheme="minorAscii" w:eastAsiaTheme="minorEastAsia" w:cstheme="minorEastAsia"/>
          <w:sz w:val="24"/>
          <w:szCs w:val="24"/>
        </w:rPr>
        <w:t>游客聚集区域，防范</w:t>
      </w:r>
      <w:r>
        <w:rPr>
          <w:rFonts w:hint="default" w:asciiTheme="minorAscii" w:hAnsiTheme="minorAscii" w:eastAsiaTheme="minorEastAsia" w:cstheme="minorEastAsia"/>
          <w:sz w:val="24"/>
          <w:szCs w:val="24"/>
          <w:lang w:val="en-US" w:eastAsia="zh-CN"/>
        </w:rPr>
        <w:t>破坏景观</w:t>
      </w:r>
      <w:r>
        <w:rPr>
          <w:rFonts w:hint="default" w:asciiTheme="minorAscii" w:hAnsiTheme="minorAscii" w:eastAsiaTheme="minorEastAsia" w:cstheme="minorEastAsia"/>
          <w:sz w:val="24"/>
          <w:szCs w:val="24"/>
        </w:rPr>
        <w:t>、乱扔垃圾等行为，平衡生态保护与旅游管理需求</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7"/>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选址需位于区域高点，确保摄像机俯瞰视角覆盖核心生态区及周边缓冲区，减少树木、山体等自然障碍物遮挡；</w:t>
      </w:r>
    </w:p>
    <w:p>
      <w:pPr>
        <w:keepNext w:val="0"/>
        <w:keepLines w:val="0"/>
        <w:pageBreakBefore w:val="0"/>
        <w:widowControl w:val="0"/>
        <w:numPr>
          <w:ilvl w:val="0"/>
          <w:numId w:val="17"/>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应选取</w:t>
      </w:r>
      <w:r>
        <w:rPr>
          <w:rFonts w:hint="default" w:asciiTheme="minorAscii" w:hAnsiTheme="minorAscii" w:eastAsiaTheme="minorEastAsia" w:cstheme="minorEastAsia"/>
          <w:sz w:val="24"/>
          <w:szCs w:val="24"/>
          <w:lang w:val="en-US" w:eastAsia="zh-CN"/>
        </w:rPr>
        <w:t>运营商4G/5G信号已覆盖、电力供应有保障、</w:t>
      </w:r>
      <w:r>
        <w:rPr>
          <w:rFonts w:hint="default" w:asciiTheme="minorAscii" w:hAnsiTheme="minorAscii" w:eastAsiaTheme="minorEastAsia" w:cstheme="minorEastAsia"/>
          <w:sz w:val="24"/>
          <w:szCs w:val="24"/>
        </w:rPr>
        <w:t>交通方便的区域</w:t>
      </w:r>
      <w:r>
        <w:rPr>
          <w:rFonts w:hint="default" w:asciiTheme="minorAscii" w:hAnsiTheme="minorAscii" w:eastAsiaTheme="minorEastAsia" w:cstheme="minorEastAsia"/>
          <w:sz w:val="24"/>
          <w:szCs w:val="24"/>
          <w:lang w:eastAsia="zh-CN"/>
        </w:rPr>
        <w:t>。</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系统构成</w:t>
      </w:r>
    </w:p>
    <w:p>
      <w:pPr>
        <w:keepNext w:val="0"/>
        <w:keepLines w:val="0"/>
        <w:pageBreakBefore w:val="0"/>
        <w:widowControl w:val="0"/>
        <w:kinsoku/>
        <w:wordWrap/>
        <w:overflowPunct/>
        <w:topLinePunct w:val="0"/>
        <w:autoSpaceDE/>
        <w:autoSpaceDN/>
        <w:bidi w:val="0"/>
        <w:adjustRightInd w:val="0"/>
        <w:snapToGrid w:val="0"/>
        <w:spacing w:after="167" w:afterLines="5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系统由视频监控</w:t>
      </w:r>
      <w:r>
        <w:rPr>
          <w:rFonts w:hint="default" w:asciiTheme="minorAscii" w:hAnsiTheme="minorAscii" w:eastAsiaTheme="minorEastAsia" w:cstheme="minorEastAsia"/>
          <w:sz w:val="24"/>
          <w:szCs w:val="24"/>
          <w:vertAlign w:val="baseline"/>
          <w:lang w:val="en-US" w:eastAsia="zh-CN"/>
        </w:rPr>
        <w:t>摄像机</w:t>
      </w:r>
      <w:r>
        <w:rPr>
          <w:rFonts w:hint="default" w:asciiTheme="minorAscii" w:hAnsiTheme="minorAscii" w:eastAsiaTheme="minorEastAsia" w:cstheme="minorEastAsia"/>
          <w:sz w:val="24"/>
          <w:szCs w:val="24"/>
          <w:lang w:val="en-US" w:eastAsia="zh-CN"/>
        </w:rPr>
        <w:t>、</w:t>
      </w:r>
      <w:r>
        <w:rPr>
          <w:rFonts w:hint="default" w:asciiTheme="minorAscii" w:hAnsiTheme="minorAscii" w:eastAsiaTheme="minorEastAsia" w:cstheme="minorEastAsia"/>
          <w:sz w:val="24"/>
          <w:szCs w:val="24"/>
        </w:rPr>
        <w:t>供电系统</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等组成。</w:t>
      </w:r>
      <w:r>
        <w:rPr>
          <w:rFonts w:hint="default" w:asciiTheme="minorAscii" w:hAnsiTheme="minorAscii" w:eastAsiaTheme="minorEastAsia" w:cstheme="minorEastAsia"/>
          <w:sz w:val="24"/>
          <w:szCs w:val="24"/>
          <w:lang w:val="en-US" w:eastAsia="zh-CN"/>
        </w:rPr>
        <w:t>视频监控</w:t>
      </w:r>
      <w:r>
        <w:rPr>
          <w:rFonts w:hint="default" w:asciiTheme="minorAscii" w:hAnsiTheme="minorAscii" w:eastAsiaTheme="minorEastAsia" w:cstheme="minorEastAsia"/>
          <w:sz w:val="24"/>
          <w:szCs w:val="24"/>
          <w:vertAlign w:val="baseline"/>
          <w:lang w:val="en-US" w:eastAsia="zh-CN"/>
        </w:rPr>
        <w:t>摄像机</w:t>
      </w:r>
      <w:r>
        <w:rPr>
          <w:rFonts w:hint="default" w:asciiTheme="minorAscii" w:hAnsiTheme="minorAscii" w:eastAsiaTheme="minorEastAsia" w:cstheme="minorEastAsia"/>
          <w:sz w:val="24"/>
          <w:szCs w:val="24"/>
          <w:lang w:val="en-US" w:eastAsia="zh-CN"/>
        </w:rPr>
        <w:t>实现对观测湖岸植被异动情况、渔船检测，船流量统计和防挖沙船只等的实时监测与分析；</w:t>
      </w:r>
      <w:r>
        <w:rPr>
          <w:rFonts w:hint="default" w:asciiTheme="minorAscii" w:hAnsiTheme="minorAscii" w:eastAsiaTheme="minorEastAsia" w:cstheme="minorEastAsia"/>
          <w:sz w:val="24"/>
          <w:szCs w:val="24"/>
        </w:rPr>
        <w:t>供电</w:t>
      </w:r>
      <w:r>
        <w:rPr>
          <w:rFonts w:hint="default" w:asciiTheme="minorAscii" w:hAnsiTheme="minorAscii" w:eastAsiaTheme="minorEastAsia" w:cstheme="minorEastAsia"/>
          <w:sz w:val="24"/>
          <w:szCs w:val="24"/>
          <w:lang w:val="en-US" w:eastAsia="zh-CN"/>
        </w:rPr>
        <w:t>系统由一体化光储能柱组成</w:t>
      </w:r>
      <w:r>
        <w:rPr>
          <w:rFonts w:hint="default" w:asciiTheme="minorAscii" w:hAnsiTheme="minorAscii" w:eastAsiaTheme="minorEastAsia" w:cstheme="minorEastAsia"/>
          <w:sz w:val="24"/>
          <w:szCs w:val="24"/>
        </w:rPr>
        <w:t>，为相应设备供电；</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完成数据</w:t>
      </w:r>
      <w:r>
        <w:rPr>
          <w:rFonts w:hint="default" w:asciiTheme="minorAscii" w:hAnsiTheme="minorAscii" w:eastAsiaTheme="minorEastAsia" w:cstheme="minorEastAsia"/>
          <w:sz w:val="24"/>
          <w:szCs w:val="24"/>
          <w:lang w:val="en-US" w:eastAsia="zh-CN"/>
        </w:rPr>
        <w:t>与视频</w:t>
      </w:r>
      <w:r>
        <w:rPr>
          <w:rFonts w:hint="default" w:asciiTheme="minorAscii" w:hAnsiTheme="minorAscii" w:eastAsiaTheme="minorEastAsia" w:cstheme="minorEastAsia"/>
          <w:sz w:val="24"/>
          <w:szCs w:val="24"/>
        </w:rPr>
        <w:t>的</w:t>
      </w:r>
      <w:r>
        <w:rPr>
          <w:rFonts w:hint="default" w:asciiTheme="minorAscii" w:hAnsiTheme="minorAscii" w:eastAsiaTheme="minorEastAsia" w:cstheme="minorEastAsia"/>
          <w:sz w:val="24"/>
          <w:szCs w:val="24"/>
          <w:lang w:val="en-US" w:eastAsia="zh-CN"/>
        </w:rPr>
        <w:t>传输</w:t>
      </w:r>
      <w:r>
        <w:rPr>
          <w:rFonts w:hint="default" w:asciiTheme="minorAscii" w:hAnsiTheme="minorAscii" w:eastAsiaTheme="minorEastAsia" w:cstheme="minorEastAsia"/>
          <w:sz w:val="24"/>
          <w:szCs w:val="24"/>
        </w:rPr>
        <w:t>，使在线监测的数据</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视频</w:t>
      </w:r>
      <w:r>
        <w:rPr>
          <w:rFonts w:hint="default" w:asciiTheme="minorAscii" w:hAnsiTheme="minorAscii" w:eastAsiaTheme="minorEastAsia" w:cstheme="minorEastAsia"/>
          <w:sz w:val="24"/>
          <w:szCs w:val="24"/>
        </w:rPr>
        <w:t>通过</w:t>
      </w:r>
      <w:r>
        <w:rPr>
          <w:rFonts w:hint="default" w:asciiTheme="minorAscii" w:hAnsiTheme="minorAscii" w:eastAsiaTheme="minorEastAsia" w:cstheme="minorEastAsia"/>
          <w:sz w:val="24"/>
          <w:szCs w:val="24"/>
          <w:lang w:val="en-US" w:eastAsia="zh-CN"/>
        </w:rPr>
        <w:t>4G/5G</w:t>
      </w:r>
      <w:r>
        <w:rPr>
          <w:rFonts w:hint="default" w:asciiTheme="minorAscii" w:hAnsiTheme="minorAscii" w:eastAsiaTheme="minorEastAsia" w:cstheme="minorEastAsia"/>
          <w:sz w:val="24"/>
          <w:szCs w:val="24"/>
        </w:rPr>
        <w:t>网络</w:t>
      </w:r>
      <w:r>
        <w:rPr>
          <w:rFonts w:hint="default" w:asciiTheme="minorAscii" w:hAnsiTheme="minorAscii" w:eastAsiaTheme="minorEastAsia" w:cstheme="minorEastAsia"/>
          <w:sz w:val="24"/>
          <w:szCs w:val="24"/>
          <w:lang w:val="en-US" w:eastAsia="zh-CN"/>
        </w:rPr>
        <w:t>或者有线网络</w:t>
      </w:r>
      <w:r>
        <w:rPr>
          <w:rFonts w:hint="default" w:asciiTheme="minorAscii" w:hAnsiTheme="minorAscii" w:eastAsiaTheme="minorEastAsia" w:cstheme="minorEastAsia"/>
          <w:sz w:val="24"/>
          <w:szCs w:val="24"/>
        </w:rPr>
        <w:t>发布到</w:t>
      </w:r>
      <w:r>
        <w:rPr>
          <w:rFonts w:hint="default" w:asciiTheme="minorAscii" w:hAnsiTheme="minorAscii" w:eastAsiaTheme="minorEastAsia" w:cstheme="minorEastAsia"/>
          <w:sz w:val="24"/>
          <w:szCs w:val="24"/>
          <w:lang w:val="en-US" w:eastAsia="zh-CN"/>
        </w:rPr>
        <w:t>风险源监测与环境应急</w:t>
      </w:r>
      <w:r>
        <w:rPr>
          <w:rFonts w:hint="default" w:asciiTheme="minorAscii" w:hAnsiTheme="minorAscii" w:eastAsiaTheme="minorEastAsia" w:cstheme="minorEastAsia"/>
          <w:sz w:val="24"/>
          <w:szCs w:val="24"/>
        </w:rPr>
        <w:t>平台。</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5275580" cy="3439795"/>
            <wp:effectExtent l="0" t="0" r="12700" b="4445"/>
            <wp:docPr id="1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
                    <pic:cNvPicPr>
                      <a:picLocks noChangeAspect="1"/>
                    </pic:cNvPicPr>
                  </pic:nvPicPr>
                  <pic:blipFill>
                    <a:blip r:embed="rId17"/>
                    <a:stretch>
                      <a:fillRect/>
                    </a:stretch>
                  </pic:blipFill>
                  <pic:spPr>
                    <a:xfrm>
                      <a:off x="0" y="0"/>
                      <a:ext cx="5275580" cy="34397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图15 视频监控摄像机4（2400万高点AR全景摄像机）安装图</w:t>
      </w:r>
    </w:p>
    <w:p>
      <w:pPr>
        <w:bidi w:val="0"/>
        <w:ind w:left="0" w:leftChars="0" w:firstLine="0" w:firstLineChars="0"/>
        <w:jc w:val="center"/>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3704590" cy="4744720"/>
            <wp:effectExtent l="0" t="0" r="13970" b="10160"/>
            <wp:docPr id="1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
                    <pic:cNvPicPr>
                      <a:picLocks noChangeAspect="1"/>
                    </pic:cNvPicPr>
                  </pic:nvPicPr>
                  <pic:blipFill>
                    <a:blip r:embed="rId18"/>
                    <a:srcRect b="2556"/>
                    <a:stretch>
                      <a:fillRect/>
                    </a:stretch>
                  </pic:blipFill>
                  <pic:spPr>
                    <a:xfrm>
                      <a:off x="0" y="0"/>
                      <a:ext cx="3704590" cy="4744720"/>
                    </a:xfrm>
                    <a:prstGeom prst="rect">
                      <a:avLst/>
                    </a:prstGeom>
                    <a:noFill/>
                    <a:ln>
                      <a:noFill/>
                    </a:ln>
                  </pic:spPr>
                </pic:pic>
              </a:graphicData>
            </a:graphic>
          </wp:inline>
        </w:drawing>
      </w:r>
    </w:p>
    <w:p>
      <w:pPr>
        <w:bidi w:val="0"/>
        <w:ind w:left="0" w:leftChars="0" w:firstLine="0" w:firstLineChars="0"/>
        <w:jc w:val="center"/>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图16 视频摄像机3（热成像双光谱中载云台摄像机）安装图</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通过部署在关键点的</w:t>
      </w:r>
      <w:r>
        <w:rPr>
          <w:rFonts w:hint="default" w:asciiTheme="minorAscii" w:hAnsiTheme="minorAscii" w:eastAsiaTheme="minorEastAsia" w:cstheme="minorEastAsia"/>
          <w:sz w:val="24"/>
          <w:szCs w:val="24"/>
          <w:lang w:val="en-US" w:eastAsia="zh-CN"/>
        </w:rPr>
        <w:t>视频监控</w:t>
      </w:r>
      <w:r>
        <w:rPr>
          <w:rFonts w:hint="default" w:asciiTheme="minorAscii" w:hAnsiTheme="minorAscii" w:eastAsiaTheme="minorEastAsia" w:cstheme="minorEastAsia"/>
          <w:sz w:val="24"/>
          <w:szCs w:val="24"/>
        </w:rPr>
        <w:t>设备，实时采集</w:t>
      </w:r>
      <w:r>
        <w:rPr>
          <w:rFonts w:hint="default" w:asciiTheme="minorAscii" w:hAnsiTheme="minorAscii" w:eastAsiaTheme="minorEastAsia" w:cstheme="minorEastAsia"/>
          <w:sz w:val="24"/>
          <w:szCs w:val="24"/>
          <w:lang w:val="en-US" w:eastAsia="zh-CN"/>
        </w:rPr>
        <w:t>现场监控画面，</w:t>
      </w:r>
      <w:r>
        <w:rPr>
          <w:rFonts w:hint="default" w:asciiTheme="minorAscii" w:hAnsiTheme="minorAscii" w:eastAsiaTheme="minorEastAsia" w:cstheme="minorEastAsia"/>
          <w:sz w:val="24"/>
          <w:szCs w:val="24"/>
        </w:rPr>
        <w:t>并</w:t>
      </w:r>
      <w:r>
        <w:rPr>
          <w:rFonts w:hint="default" w:asciiTheme="minorAscii" w:hAnsiTheme="minorAscii" w:eastAsiaTheme="minorEastAsia" w:cstheme="minorEastAsia"/>
          <w:sz w:val="24"/>
          <w:szCs w:val="24"/>
          <w:lang w:val="en-US" w:eastAsia="zh-CN"/>
        </w:rPr>
        <w:t>通过平台进行分析</w:t>
      </w:r>
      <w:r>
        <w:rPr>
          <w:rFonts w:hint="default" w:asciiTheme="minorAscii" w:hAnsiTheme="minorAscii" w:eastAsiaTheme="minorEastAsia" w:cstheme="minorEastAsia"/>
          <w:sz w:val="24"/>
          <w:szCs w:val="24"/>
        </w:rPr>
        <w:t>，从而实现对</w:t>
      </w:r>
      <w:r>
        <w:rPr>
          <w:rFonts w:hint="default" w:asciiTheme="minorAscii" w:hAnsiTheme="minorAscii" w:eastAsiaTheme="minorEastAsia" w:cstheme="minorEastAsia"/>
          <w:sz w:val="24"/>
          <w:szCs w:val="24"/>
          <w:lang w:val="en-US" w:eastAsia="zh-CN"/>
        </w:rPr>
        <w:t>重要地点的</w:t>
      </w:r>
      <w:r>
        <w:rPr>
          <w:rFonts w:hint="default" w:asciiTheme="minorAscii" w:hAnsiTheme="minorAscii" w:eastAsiaTheme="minorEastAsia" w:cstheme="minorEastAsia"/>
          <w:sz w:val="24"/>
          <w:szCs w:val="24"/>
        </w:rPr>
        <w:t>有效监管。</w:t>
      </w: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0"/>
        </w:numPr>
        <w:kinsoku/>
        <w:wordWrap/>
        <w:overflowPunct/>
        <w:topLinePunct w:val="0"/>
        <w:autoSpaceDE/>
        <w:autoSpaceDN/>
        <w:bidi w:val="0"/>
        <w:adjustRightInd w:val="0"/>
        <w:snapToGrid w:val="0"/>
        <w:ind w:left="567" w:leftChars="0"/>
        <w:textAlignment w:val="auto"/>
        <w:rPr>
          <w:rFonts w:hint="default" w:asciiTheme="minorAscii" w:hAnsiTheme="minorAscii" w:eastAsiaTheme="minorEastAsia" w:cstheme="minorEastAsia"/>
          <w:b w:val="0"/>
          <w:bCs w:val="0"/>
          <w:sz w:val="24"/>
          <w:szCs w:val="24"/>
          <w:lang w:eastAsia="zh-CN"/>
        </w:rPr>
      </w:pPr>
      <w:r>
        <w:rPr>
          <w:rFonts w:hint="default" w:asciiTheme="minorAscii" w:hAnsiTheme="minorAscii" w:eastAsiaTheme="minorEastAsia" w:cstheme="minorEastAsia"/>
          <w:b w:val="0"/>
          <w:bCs w:val="0"/>
          <w:sz w:val="24"/>
          <w:szCs w:val="24"/>
        </w:rPr>
        <w:t>Ⅰ</w:t>
      </w:r>
      <w:r>
        <w:rPr>
          <w:rFonts w:hint="default" w:asciiTheme="minorAscii" w:hAnsiTheme="minorAscii" w:eastAsiaTheme="minorEastAsia" w:cstheme="minorEastAsia"/>
          <w:b w:val="0"/>
          <w:bCs w:val="0"/>
          <w:sz w:val="24"/>
          <w:szCs w:val="24"/>
          <w:lang w:val="en-US" w:eastAsia="zh-CN"/>
        </w:rPr>
        <w:t>. 视频监控摄像机2（即</w:t>
      </w:r>
      <w:r>
        <w:rPr>
          <w:rFonts w:hint="default" w:asciiTheme="minorAscii" w:hAnsiTheme="minorAscii" w:eastAsiaTheme="minorEastAsia" w:cstheme="minorEastAsia"/>
          <w:b w:val="0"/>
          <w:bCs w:val="0"/>
          <w:sz w:val="24"/>
          <w:szCs w:val="24"/>
        </w:rPr>
        <w:t>400万高点远距离云台摄像机</w:t>
      </w:r>
      <w:r>
        <w:rPr>
          <w:rFonts w:hint="default" w:asciiTheme="minorAscii" w:hAnsiTheme="minorAscii" w:eastAsiaTheme="minorEastAsia" w:cstheme="minorEastAsia"/>
          <w:b w:val="0"/>
          <w:bCs w:val="0"/>
          <w:sz w:val="24"/>
          <w:szCs w:val="24"/>
          <w:lang w:eastAsia="zh-CN"/>
        </w:rPr>
        <w:t>）</w:t>
      </w:r>
    </w:p>
    <w:p>
      <w:pPr>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超远距离监测与高清成像</w:t>
      </w:r>
      <w:r>
        <w:rPr>
          <w:rFonts w:hint="default" w:asciiTheme="minorAscii" w:hAnsiTheme="minorAscii" w:eastAsiaTheme="minorEastAsia" w:cstheme="minorEastAsia"/>
          <w:sz w:val="24"/>
          <w:szCs w:val="24"/>
          <w:lang w:val="en-US" w:eastAsia="zh-CN"/>
        </w:rPr>
        <w:t>功能，检测距离≥8KM；</w:t>
      </w:r>
    </w:p>
    <w:p>
      <w:pPr>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可实现全天候的视频监控；</w:t>
      </w:r>
    </w:p>
    <w:p>
      <w:pPr>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高低视频点位的有机联动，操作人员可以在全景画面中快速定位到需要重点关注的细节区域</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具备视频画面</w:t>
      </w:r>
      <w:r>
        <w:rPr>
          <w:rFonts w:hint="default" w:asciiTheme="minorAscii" w:hAnsiTheme="minorAscii" w:eastAsiaTheme="minorEastAsia" w:cstheme="minorEastAsia"/>
          <w:sz w:val="24"/>
          <w:szCs w:val="24"/>
        </w:rPr>
        <w:t>叠加设备状态、环境参数、报警信息等各类关键信息</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支持全景画面与细节球机联动功能，操作人员只需在全景摄像机画面中框选任意位置，细节跟踪摄像机便会自动通过云台调整和变焦，将所选区域精准地置于画面中心</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通过设置智能事件规则，摄像机能够对设定区域内触发事件的运动目标在设定的跟踪时间内进行持续稳定跟踪</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支持手动选择跟踪目标。操作人员可以根据实际需要，在画面中手动选定目标，摄像机将在设定的跟踪时间内对该目标进行持续稳定跟踪</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8"/>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支持在跟踪过程中手动切换跟踪目标，满足不同场景下的监控需求</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ind w:left="567" w:leftChars="0"/>
        <w:textAlignment w:val="auto"/>
        <w:rPr>
          <w:rFonts w:hint="default" w:asciiTheme="minorAscii" w:hAnsiTheme="minorAscii" w:eastAsiaTheme="minorEastAsia" w:cstheme="minorEastAsia"/>
          <w:b w:val="0"/>
          <w:bCs w:val="0"/>
          <w:sz w:val="24"/>
          <w:szCs w:val="24"/>
          <w:lang w:eastAsia="zh-CN"/>
        </w:rPr>
      </w:pPr>
      <w:r>
        <w:rPr>
          <w:rFonts w:hint="default" w:asciiTheme="minorAscii" w:hAnsiTheme="minorAscii" w:eastAsiaTheme="minorEastAsia" w:cstheme="minorEastAsia"/>
          <w:b w:val="0"/>
          <w:bCs w:val="0"/>
          <w:sz w:val="24"/>
          <w:szCs w:val="24"/>
        </w:rPr>
        <w:t>Ⅱ</w:t>
      </w:r>
      <w:r>
        <w:rPr>
          <w:rFonts w:hint="default" w:asciiTheme="minorAscii" w:hAnsiTheme="minorAscii" w:eastAsiaTheme="minorEastAsia" w:cstheme="minorEastAsia"/>
          <w:b w:val="0"/>
          <w:bCs w:val="0"/>
          <w:sz w:val="24"/>
          <w:szCs w:val="24"/>
          <w:lang w:val="en-US" w:eastAsia="zh-CN"/>
        </w:rPr>
        <w:t>. 视频监控摄像机3（即</w:t>
      </w:r>
      <w:r>
        <w:rPr>
          <w:rFonts w:hint="default" w:asciiTheme="minorAscii" w:hAnsiTheme="minorAscii" w:eastAsiaTheme="minorEastAsia" w:cstheme="minorEastAsia"/>
          <w:b w:val="0"/>
          <w:bCs w:val="0"/>
          <w:sz w:val="24"/>
          <w:szCs w:val="24"/>
        </w:rPr>
        <w:t>热成像双光谱中载云台摄像机</w:t>
      </w:r>
      <w:r>
        <w:rPr>
          <w:rFonts w:hint="default" w:asciiTheme="minorAscii" w:hAnsiTheme="minorAscii" w:eastAsiaTheme="minorEastAsia" w:cstheme="minorEastAsia"/>
          <w:b w:val="0"/>
          <w:bCs w:val="0"/>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集热成像与可见光于一体，能够在黑暗、烟雾等恶劣环境下检测到目标的热量辐射，实现全天候的监控</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可展现</w:t>
      </w:r>
      <w:r>
        <w:rPr>
          <w:rFonts w:hint="default" w:asciiTheme="minorAscii" w:hAnsiTheme="minorAscii" w:eastAsiaTheme="minorEastAsia" w:cstheme="minorEastAsia"/>
          <w:sz w:val="24"/>
          <w:szCs w:val="24"/>
        </w:rPr>
        <w:t>清晰的图像细节，便于识别目标的外观特征</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 xml:space="preserve"> </w:t>
      </w: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3D 定位功能，结合客户端/IE 操作，可实现点击放大和未授权目标智能跟随</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具备区域扫描功能，可对指定区域进行定时、定速扫描，全面覆盖监控区域，及时发现潜在的安全隐患</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烟火区域屏蔽功能</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能够有效排除烟火干扰，避免因烟火产生的误报</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热成像目标检测功能</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能够快速、准确地检测到发热目标，如人员、车辆、设备等</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可联动可见光通道对未授权人员进行目标跟随，当检测到未授权人员进入监控区域时，摄像机能够自动切换至可见光模式，并持续跟踪该人员的运动轨迹，同时将相关信息实时传输至监控中心</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入侵侦测、越界侦测、进入区域侦测、离开区域侦测功能，能够及时发现非法入侵、越界等行为，并发出报警信息</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渔船检测、船流量统计和防挖沙船只检测功能</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支持大型车辆检测功能，能够对进入监控区域的大型车辆进行准确识别和跟踪，便于交通管理和安全监控</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具备废气检测功能，可实时监测车辆的废气排放情况，为环境保护部门提供数据支持</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可实现</w:t>
      </w:r>
      <w:r>
        <w:rPr>
          <w:rFonts w:hint="default" w:asciiTheme="minorAscii" w:hAnsiTheme="minorAscii" w:eastAsiaTheme="minorEastAsia" w:cstheme="minorEastAsia"/>
          <w:sz w:val="24"/>
          <w:szCs w:val="24"/>
        </w:rPr>
        <w:t>森林防火、秸秆禁烧、防挖沙、禁捕和资源保护等多种场景</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ind w:left="567" w:leftChars="0"/>
        <w:textAlignment w:val="auto"/>
        <w:rPr>
          <w:rFonts w:hint="default" w:asciiTheme="minorAscii" w:hAnsiTheme="minorAscii" w:eastAsiaTheme="minorEastAsia" w:cstheme="minorEastAsia"/>
          <w:b w:val="0"/>
          <w:bCs w:val="0"/>
          <w:sz w:val="24"/>
          <w:szCs w:val="24"/>
          <w:lang w:eastAsia="zh-CN"/>
        </w:rPr>
      </w:pPr>
      <w:r>
        <w:rPr>
          <w:rFonts w:hint="default" w:asciiTheme="minorAscii" w:hAnsiTheme="minorAscii" w:eastAsiaTheme="minorEastAsia" w:cstheme="minorEastAsia"/>
          <w:b w:val="0"/>
          <w:bCs w:val="0"/>
          <w:sz w:val="24"/>
          <w:szCs w:val="24"/>
        </w:rPr>
        <w:t>Ⅲ</w:t>
      </w:r>
      <w:r>
        <w:rPr>
          <w:rFonts w:hint="default" w:asciiTheme="minorAscii" w:hAnsiTheme="minorAscii" w:eastAsiaTheme="minorEastAsia" w:cstheme="minorEastAsia"/>
          <w:b w:val="0"/>
          <w:bCs w:val="0"/>
          <w:sz w:val="24"/>
          <w:szCs w:val="24"/>
          <w:lang w:val="en-US" w:eastAsia="zh-CN"/>
        </w:rPr>
        <w:t>. 视频监控摄像机4（即</w:t>
      </w:r>
      <w:r>
        <w:rPr>
          <w:rFonts w:hint="default" w:asciiTheme="minorAscii" w:hAnsiTheme="minorAscii" w:eastAsiaTheme="minorEastAsia" w:cstheme="minorEastAsia"/>
          <w:b w:val="0"/>
          <w:bCs w:val="0"/>
          <w:sz w:val="24"/>
          <w:szCs w:val="24"/>
        </w:rPr>
        <w:t>2400 万高点 AR 全景摄像机</w:t>
      </w:r>
      <w:r>
        <w:rPr>
          <w:rFonts w:hint="default" w:asciiTheme="minorAscii" w:hAnsiTheme="minorAscii" w:eastAsiaTheme="minorEastAsia" w:cstheme="minorEastAsia"/>
          <w:b w:val="0"/>
          <w:bCs w:val="0"/>
          <w:sz w:val="24"/>
          <w:szCs w:val="24"/>
          <w:lang w:eastAsia="zh-CN"/>
        </w:rPr>
        <w:t>）</w:t>
      </w:r>
    </w:p>
    <w:p>
      <w:pPr>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可提供</w:t>
      </w:r>
      <w:r>
        <w:rPr>
          <w:rFonts w:hint="default" w:asciiTheme="minorAscii" w:hAnsiTheme="minorAscii" w:eastAsiaTheme="minorEastAsia" w:cstheme="minorEastAsia"/>
          <w:sz w:val="24"/>
          <w:szCs w:val="24"/>
        </w:rPr>
        <w:t>清晰、细腻的全景图像，为 AR 实景应用的构建提供了高质量的基础数据</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全景画面中叠加设备状态、环境参数、人员分布</w:t>
      </w:r>
      <w:r>
        <w:rPr>
          <w:rFonts w:hint="default" w:asciiTheme="minorAscii" w:hAnsiTheme="minorAscii" w:eastAsiaTheme="minorEastAsia" w:cstheme="minorEastAsia"/>
          <w:sz w:val="24"/>
          <w:szCs w:val="24"/>
          <w:lang w:val="en-US" w:eastAsia="zh-CN"/>
        </w:rPr>
        <w:t>等</w:t>
      </w:r>
      <w:r>
        <w:rPr>
          <w:rFonts w:hint="default" w:asciiTheme="minorAscii" w:hAnsiTheme="minorAscii" w:eastAsiaTheme="minorEastAsia" w:cstheme="minorEastAsia"/>
          <w:sz w:val="24"/>
          <w:szCs w:val="24"/>
        </w:rPr>
        <w:t>各类实时数据</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567"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高低视频点位的联动、细节特征观察和全景画面展示等功能</w:t>
      </w:r>
      <w:r>
        <w:rPr>
          <w:rFonts w:hint="default" w:asciiTheme="minorAscii" w:hAnsiTheme="minorAscii" w:eastAsiaTheme="minorEastAsia" w:cstheme="minorEastAsia"/>
          <w:sz w:val="24"/>
          <w:szCs w:val="24"/>
          <w:lang w:eastAsia="zh-CN"/>
        </w:rPr>
        <w:t>；</w:t>
      </w:r>
    </w:p>
    <w:p>
      <w:pPr>
        <w:pStyle w:val="8"/>
        <w:keepNext/>
        <w:keepLines/>
        <w:pageBreakBefore w:val="0"/>
        <w:widowControl w:val="0"/>
        <w:kinsoku/>
        <w:wordWrap/>
        <w:overflowPunct/>
        <w:topLinePunct w:val="0"/>
        <w:autoSpaceDE/>
        <w:autoSpaceDN/>
        <w:bidi w:val="0"/>
        <w:adjustRightInd/>
        <w:snapToGrid w:val="0"/>
        <w:spacing w:before="250" w:beforeLines="7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能耗及通信流量</w:t>
      </w:r>
    </w:p>
    <w:p>
      <w:pPr>
        <w:keepNext w:val="0"/>
        <w:keepLines w:val="0"/>
        <w:pageBreakBefore w:val="0"/>
        <w:widowControl w:val="0"/>
        <w:numPr>
          <w:ilvl w:val="0"/>
          <w:numId w:val="0"/>
        </w:numPr>
        <w:kinsoku/>
        <w:wordWrap/>
        <w:overflowPunct/>
        <w:topLinePunct w:val="0"/>
        <w:autoSpaceDE/>
        <w:autoSpaceDN/>
        <w:bidi w:val="0"/>
        <w:adjustRightInd w:val="0"/>
        <w:snapToGrid w:val="0"/>
        <w:ind w:left="567" w:leftChars="0"/>
        <w:textAlignment w:val="auto"/>
        <w:rPr>
          <w:rFonts w:hint="default" w:asciiTheme="minorAscii" w:hAnsiTheme="minorAscii" w:eastAsiaTheme="minorEastAsia" w:cstheme="minorEastAsia"/>
          <w:b w:val="0"/>
          <w:bCs w:val="0"/>
          <w:sz w:val="24"/>
          <w:szCs w:val="24"/>
          <w:lang w:eastAsia="zh-CN"/>
        </w:rPr>
      </w:pPr>
      <w:r>
        <w:rPr>
          <w:rFonts w:hint="default" w:asciiTheme="minorAscii" w:hAnsiTheme="minorAscii" w:eastAsiaTheme="minorEastAsia" w:cstheme="minorEastAsia"/>
          <w:b w:val="0"/>
          <w:bCs w:val="0"/>
          <w:sz w:val="24"/>
          <w:szCs w:val="24"/>
        </w:rPr>
        <w:t>Ⅰ</w:t>
      </w:r>
      <w:r>
        <w:rPr>
          <w:rFonts w:hint="default" w:asciiTheme="minorAscii" w:hAnsiTheme="minorAscii" w:eastAsiaTheme="minorEastAsia" w:cstheme="minorEastAsia"/>
          <w:b w:val="0"/>
          <w:bCs w:val="0"/>
          <w:sz w:val="24"/>
          <w:szCs w:val="24"/>
          <w:lang w:val="en-US" w:eastAsia="zh-CN"/>
        </w:rPr>
        <w:t>. 视频监控摄像机2（即</w:t>
      </w:r>
      <w:r>
        <w:rPr>
          <w:rFonts w:hint="default" w:asciiTheme="minorAscii" w:hAnsiTheme="minorAscii" w:eastAsiaTheme="minorEastAsia" w:cstheme="minorEastAsia"/>
          <w:b w:val="0"/>
          <w:bCs w:val="0"/>
          <w:sz w:val="24"/>
          <w:szCs w:val="24"/>
        </w:rPr>
        <w:t>400万高点远距离云台摄像机</w:t>
      </w:r>
      <w:r>
        <w:rPr>
          <w:rFonts w:hint="default" w:asciiTheme="minorAscii" w:hAnsiTheme="minorAscii" w:eastAsiaTheme="minorEastAsia" w:cstheme="minorEastAsia"/>
          <w:b w:val="0"/>
          <w:bCs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400万高点远距离云台摄像机满载功耗210W，日工作时间24h。接入路由器满载功耗24W，日工作时间24h。户外防水网络音柱功耗30W，日均工作时间2h。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2646"/>
        <w:gridCol w:w="756"/>
        <w:gridCol w:w="768"/>
        <w:gridCol w:w="756"/>
        <w:gridCol w:w="696"/>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48"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264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524"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422"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659"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48"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38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264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659"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510822-06-035</w:t>
            </w:r>
          </w:p>
        </w:tc>
        <w:tc>
          <w:tcPr>
            <w:tcW w:w="264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木鱼大草原全景监控</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264</w:t>
            </w:r>
          </w:p>
        </w:tc>
        <w:tc>
          <w:tcPr>
            <w:tcW w:w="7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5676</w:t>
            </w:r>
          </w:p>
        </w:tc>
        <w:tc>
          <w:tcPr>
            <w:tcW w:w="75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65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bidi w:val="0"/>
        <w:rPr>
          <w:rFonts w:hint="default" w:asciiTheme="minorAscii" w:hAnsiTheme="minorAscii"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ind w:left="567" w:leftChars="0"/>
        <w:textAlignment w:val="auto"/>
        <w:rPr>
          <w:rFonts w:hint="default" w:asciiTheme="minorAscii" w:hAnsiTheme="minorAscii" w:eastAsiaTheme="minorEastAsia" w:cstheme="minorEastAsia"/>
          <w:b w:val="0"/>
          <w:bCs w:val="0"/>
          <w:sz w:val="24"/>
          <w:szCs w:val="24"/>
          <w:lang w:eastAsia="zh-CN"/>
        </w:rPr>
      </w:pPr>
      <w:r>
        <w:rPr>
          <w:rFonts w:hint="default" w:asciiTheme="minorAscii" w:hAnsiTheme="minorAscii" w:eastAsiaTheme="minorEastAsia" w:cstheme="minorEastAsia"/>
          <w:b w:val="0"/>
          <w:bCs w:val="0"/>
          <w:sz w:val="24"/>
          <w:szCs w:val="24"/>
        </w:rPr>
        <w:t>Ⅱ</w:t>
      </w:r>
      <w:r>
        <w:rPr>
          <w:rFonts w:hint="default" w:asciiTheme="minorAscii" w:hAnsiTheme="minorAscii" w:eastAsiaTheme="minorEastAsia" w:cstheme="minorEastAsia"/>
          <w:b w:val="0"/>
          <w:bCs w:val="0"/>
          <w:sz w:val="24"/>
          <w:szCs w:val="24"/>
          <w:lang w:val="en-US" w:eastAsia="zh-CN"/>
        </w:rPr>
        <w:t>. 视频监控摄像机3（即</w:t>
      </w:r>
      <w:r>
        <w:rPr>
          <w:rFonts w:hint="default" w:asciiTheme="minorAscii" w:hAnsiTheme="minorAscii" w:eastAsiaTheme="minorEastAsia" w:cstheme="minorEastAsia"/>
          <w:b w:val="0"/>
          <w:bCs w:val="0"/>
          <w:sz w:val="24"/>
          <w:szCs w:val="24"/>
        </w:rPr>
        <w:t>热成像双光谱中载云台摄像机</w:t>
      </w:r>
      <w:r>
        <w:rPr>
          <w:rFonts w:hint="default" w:asciiTheme="minorAscii" w:hAnsiTheme="minorAscii" w:eastAsiaTheme="minorEastAsia" w:cstheme="minorEastAsia"/>
          <w:b w:val="0"/>
          <w:bCs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热成像双光谱中载云台摄像机满载功耗70W，日工作时间24h。接入路由器满载功耗24W，日工作时间24h。户外防水网络音柱功耗30W，日均工作时间2h。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606"/>
        <w:gridCol w:w="2650"/>
        <w:gridCol w:w="757"/>
        <w:gridCol w:w="769"/>
        <w:gridCol w:w="757"/>
        <w:gridCol w:w="696"/>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64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kern w:val="2"/>
                <w:sz w:val="18"/>
                <w:szCs w:val="18"/>
                <w:vertAlign w:val="baseline"/>
                <w:lang w:val="en-US" w:eastAsia="zh-CN" w:bidi="ar-SA"/>
              </w:rPr>
            </w:pPr>
            <w:r>
              <w:rPr>
                <w:rFonts w:hint="default" w:asciiTheme="minorAscii" w:hAnsiTheme="minorAscii" w:eastAsiaTheme="minorEastAsia" w:cstheme="minorEastAsia"/>
                <w:b/>
                <w:bCs/>
                <w:sz w:val="18"/>
                <w:szCs w:val="18"/>
                <w:vertAlign w:val="baseline"/>
                <w:lang w:val="en-US" w:eastAsia="zh-CN"/>
              </w:rPr>
              <w:t>序号</w:t>
            </w:r>
          </w:p>
        </w:tc>
        <w:tc>
          <w:tcPr>
            <w:tcW w:w="138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kern w:val="2"/>
                <w:sz w:val="18"/>
                <w:szCs w:val="18"/>
                <w:vertAlign w:val="baseline"/>
                <w:lang w:val="en-US" w:eastAsia="zh-CN" w:bidi="ar-SA"/>
              </w:rPr>
            </w:pPr>
            <w:r>
              <w:rPr>
                <w:rFonts w:hint="default" w:asciiTheme="minorAscii" w:hAnsiTheme="minorAscii" w:eastAsiaTheme="minorEastAsia" w:cstheme="minorEastAsia"/>
                <w:b/>
                <w:bCs/>
                <w:sz w:val="18"/>
                <w:szCs w:val="18"/>
                <w:vertAlign w:val="baseline"/>
                <w:lang w:val="en-US" w:eastAsia="zh-CN"/>
              </w:rPr>
              <w:t>编号</w:t>
            </w:r>
          </w:p>
        </w:tc>
        <w:tc>
          <w:tcPr>
            <w:tcW w:w="265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kern w:val="2"/>
                <w:sz w:val="18"/>
                <w:szCs w:val="18"/>
                <w:vertAlign w:val="baseline"/>
                <w:lang w:val="en-US" w:eastAsia="zh-CN" w:bidi="ar-SA"/>
              </w:rPr>
            </w:pPr>
            <w:r>
              <w:rPr>
                <w:rFonts w:hint="default" w:asciiTheme="minorAscii" w:hAnsiTheme="minorAscii" w:eastAsiaTheme="minorEastAsia" w:cstheme="minorEastAsia"/>
                <w:b/>
                <w:bCs/>
                <w:sz w:val="18"/>
                <w:szCs w:val="18"/>
                <w:vertAlign w:val="baseline"/>
                <w:lang w:val="en-US" w:eastAsia="zh-CN"/>
              </w:rPr>
              <w:t>监测站点名称</w:t>
            </w:r>
          </w:p>
        </w:tc>
        <w:tc>
          <w:tcPr>
            <w:tcW w:w="152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kern w:val="2"/>
                <w:sz w:val="18"/>
                <w:szCs w:val="18"/>
                <w:vertAlign w:val="baseline"/>
                <w:lang w:val="en-US" w:eastAsia="zh-CN" w:bidi="ar-SA"/>
              </w:rPr>
            </w:pPr>
            <w:r>
              <w:rPr>
                <w:rFonts w:hint="default" w:asciiTheme="minorAscii" w:hAnsiTheme="minorAscii" w:eastAsiaTheme="minorEastAsia" w:cstheme="minorEastAsia"/>
                <w:b/>
                <w:bCs/>
                <w:sz w:val="18"/>
                <w:szCs w:val="18"/>
                <w:vertAlign w:val="baseline"/>
                <w:lang w:val="en-US" w:eastAsia="zh-CN"/>
              </w:rPr>
              <w:t>理论能耗</w:t>
            </w:r>
          </w:p>
        </w:tc>
        <w:tc>
          <w:tcPr>
            <w:tcW w:w="1424"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66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blHeader/>
        </w:trPr>
        <w:tc>
          <w:tcPr>
            <w:tcW w:w="649"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p>
        </w:tc>
        <w:tc>
          <w:tcPr>
            <w:tcW w:w="265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p>
        </w:tc>
        <w:tc>
          <w:tcPr>
            <w:tcW w:w="7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kern w:val="2"/>
                <w:sz w:val="18"/>
                <w:szCs w:val="18"/>
                <w:vertAlign w:val="baseline"/>
                <w:lang w:val="en-US" w:eastAsia="zh-CN" w:bidi="ar-SA"/>
              </w:rPr>
            </w:pPr>
            <w:r>
              <w:rPr>
                <w:rFonts w:hint="default" w:asciiTheme="minorAscii" w:hAnsiTheme="minorAscii" w:eastAsiaTheme="minorEastAsia" w:cstheme="minorEastAsia"/>
                <w:b/>
                <w:bCs/>
                <w:sz w:val="18"/>
                <w:szCs w:val="18"/>
                <w:vertAlign w:val="baseline"/>
                <w:lang w:val="en-US" w:eastAsia="zh-CN"/>
              </w:rPr>
              <w:t>W/h</w:t>
            </w:r>
          </w:p>
        </w:tc>
        <w:tc>
          <w:tcPr>
            <w:tcW w:w="76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kern w:val="2"/>
                <w:sz w:val="18"/>
                <w:szCs w:val="18"/>
                <w:vertAlign w:val="baseline"/>
                <w:lang w:val="en-US" w:eastAsia="zh-CN" w:bidi="ar-SA"/>
              </w:rPr>
            </w:pPr>
            <w:r>
              <w:rPr>
                <w:rFonts w:hint="default" w:asciiTheme="minorAscii" w:hAnsiTheme="minorAscii" w:eastAsiaTheme="minorEastAsia" w:cstheme="minorEastAsia"/>
                <w:b/>
                <w:bCs/>
                <w:sz w:val="18"/>
                <w:szCs w:val="18"/>
                <w:vertAlign w:val="baseline"/>
                <w:lang w:val="en-US" w:eastAsia="zh-CN"/>
              </w:rPr>
              <w:t>W/d</w:t>
            </w:r>
          </w:p>
        </w:tc>
        <w:tc>
          <w:tcPr>
            <w:tcW w:w="7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kern w:val="2"/>
                <w:sz w:val="18"/>
                <w:szCs w:val="18"/>
                <w:vertAlign w:val="baseline"/>
                <w:lang w:val="en-US" w:eastAsia="zh-CN" w:bidi="ar-SA"/>
              </w:rPr>
            </w:pPr>
            <w:r>
              <w:rPr>
                <w:rFonts w:hint="default" w:asciiTheme="minorAscii" w:hAnsiTheme="minorAscii" w:eastAsiaTheme="minorEastAsia" w:cstheme="minorEastAsia"/>
                <w:b/>
                <w:bCs/>
                <w:sz w:val="18"/>
                <w:szCs w:val="18"/>
                <w:vertAlign w:val="baseline"/>
                <w:lang w:val="en-US" w:eastAsia="zh-CN"/>
              </w:rPr>
              <w:t>GB/h</w:t>
            </w:r>
          </w:p>
        </w:tc>
        <w:tc>
          <w:tcPr>
            <w:tcW w:w="66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kern w:val="2"/>
                <w:sz w:val="18"/>
                <w:szCs w:val="18"/>
                <w:vertAlign w:val="baseline"/>
                <w:lang w:val="en-US" w:eastAsia="zh-CN" w:bidi="ar-SA"/>
              </w:rPr>
            </w:pPr>
            <w:r>
              <w:rPr>
                <w:rFonts w:hint="default" w:asciiTheme="minorAscii" w:hAnsiTheme="minorAscii" w:eastAsiaTheme="minorEastAsia" w:cstheme="minorEastAsia"/>
                <w:b/>
                <w:bCs/>
                <w:sz w:val="18"/>
                <w:szCs w:val="18"/>
                <w:vertAlign w:val="baseline"/>
                <w:lang w:val="en-US" w:eastAsia="zh-CN"/>
              </w:rPr>
              <w:t>GB/d</w:t>
            </w:r>
          </w:p>
        </w:tc>
        <w:tc>
          <w:tcPr>
            <w:tcW w:w="66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4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8"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rPr>
              <w:t>510822-06-079</w:t>
            </w:r>
          </w:p>
        </w:tc>
        <w:tc>
          <w:tcPr>
            <w:tcW w:w="2650"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color w:val="000000"/>
                <w:sz w:val="18"/>
                <w:szCs w:val="18"/>
                <w:highlight w:val="none"/>
              </w:rPr>
              <w:t>五里垭监控点</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124</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2316</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4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8"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rPr>
              <w:t>510822-06-084</w:t>
            </w:r>
          </w:p>
        </w:tc>
        <w:tc>
          <w:tcPr>
            <w:tcW w:w="2650"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color w:val="000000"/>
                <w:sz w:val="18"/>
                <w:szCs w:val="18"/>
                <w:highlight w:val="none"/>
              </w:rPr>
              <w:t>营盘码头监控点</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124</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2316</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4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388"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rPr>
              <w:t>510822-06-085</w:t>
            </w:r>
          </w:p>
        </w:tc>
        <w:tc>
          <w:tcPr>
            <w:tcW w:w="2650"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color w:val="000000"/>
                <w:sz w:val="18"/>
                <w:szCs w:val="18"/>
                <w:highlight w:val="none"/>
              </w:rPr>
              <w:t>背（碑）梁上监控点</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124</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2316</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4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388"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rPr>
              <w:t>510822-06-086</w:t>
            </w:r>
          </w:p>
        </w:tc>
        <w:tc>
          <w:tcPr>
            <w:tcW w:w="2650"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color w:val="000000"/>
                <w:sz w:val="18"/>
                <w:szCs w:val="18"/>
                <w:highlight w:val="none"/>
              </w:rPr>
              <w:t>韩家坪对面（毛坪盖）监控点</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124</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2316</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4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1388"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rPr>
              <w:t>510822-06-089</w:t>
            </w:r>
          </w:p>
        </w:tc>
        <w:tc>
          <w:tcPr>
            <w:tcW w:w="2650"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color w:val="000000"/>
                <w:sz w:val="18"/>
                <w:szCs w:val="18"/>
                <w:highlight w:val="none"/>
              </w:rPr>
              <w:t>大坪上码头监控点</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124</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kern w:val="2"/>
                <w:sz w:val="18"/>
                <w:szCs w:val="18"/>
                <w:vertAlign w:val="baseline"/>
                <w:lang w:val="en-US" w:eastAsia="zh-CN" w:bidi="ar-SA"/>
              </w:rPr>
              <w:t>2316</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bidi w:val="0"/>
        <w:rPr>
          <w:rFonts w:hint="default" w:asciiTheme="minorAscii" w:hAnsiTheme="minorAscii"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ind w:left="567" w:leftChars="0"/>
        <w:textAlignment w:val="auto"/>
        <w:rPr>
          <w:rFonts w:hint="default" w:asciiTheme="minorAscii" w:hAnsiTheme="minorAscii" w:eastAsiaTheme="minorEastAsia" w:cstheme="minorEastAsia"/>
          <w:b w:val="0"/>
          <w:bCs w:val="0"/>
          <w:sz w:val="24"/>
          <w:szCs w:val="24"/>
          <w:lang w:eastAsia="zh-CN"/>
        </w:rPr>
      </w:pPr>
      <w:r>
        <w:rPr>
          <w:rFonts w:hint="default" w:asciiTheme="minorAscii" w:hAnsiTheme="minorAscii" w:eastAsiaTheme="minorEastAsia" w:cstheme="minorEastAsia"/>
          <w:b w:val="0"/>
          <w:bCs w:val="0"/>
          <w:sz w:val="24"/>
          <w:szCs w:val="24"/>
        </w:rPr>
        <w:t>Ⅲ</w:t>
      </w:r>
      <w:r>
        <w:rPr>
          <w:rFonts w:hint="default" w:asciiTheme="minorAscii" w:hAnsiTheme="minorAscii" w:eastAsiaTheme="minorEastAsia" w:cstheme="minorEastAsia"/>
          <w:b w:val="0"/>
          <w:bCs w:val="0"/>
          <w:sz w:val="24"/>
          <w:szCs w:val="24"/>
          <w:lang w:val="en-US" w:eastAsia="zh-CN"/>
        </w:rPr>
        <w:t>. 视频监控摄像机4（</w:t>
      </w:r>
      <w:r>
        <w:rPr>
          <w:rFonts w:hint="default" w:asciiTheme="minorAscii" w:hAnsiTheme="minorAscii" w:eastAsiaTheme="minorEastAsia" w:cstheme="minorEastAsia"/>
          <w:b w:val="0"/>
          <w:bCs w:val="0"/>
          <w:sz w:val="24"/>
          <w:szCs w:val="24"/>
        </w:rPr>
        <w:t>2400 万高点 AR 全景摄像机</w:t>
      </w:r>
      <w:r>
        <w:rPr>
          <w:rFonts w:hint="default" w:asciiTheme="minorAscii" w:hAnsiTheme="minorAscii" w:eastAsiaTheme="minorEastAsia" w:cstheme="minorEastAsia"/>
          <w:b w:val="0"/>
          <w:bCs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val="0"/>
          <w:bCs w:val="0"/>
          <w:sz w:val="24"/>
          <w:szCs w:val="24"/>
          <w:vertAlign w:val="baseline"/>
          <w:lang w:val="en-US" w:eastAsia="zh-CN"/>
        </w:rPr>
        <w:t>2400万高点AR全景摄像机满载功耗75W，日工作时间24h。接入路由器满载功耗24W，日工作时间24h。户外防水网络音柱功耗30W，日均工作时间2h</w:t>
      </w:r>
      <w:r>
        <w:rPr>
          <w:rFonts w:hint="default" w:asciiTheme="minorAscii" w:hAnsiTheme="minorAscii" w:eastAsiaTheme="minorEastAsia" w:cstheme="minorEastAsia"/>
          <w:sz w:val="24"/>
          <w:szCs w:val="24"/>
          <w:lang w:val="en-US" w:eastAsia="zh-CN"/>
        </w:rPr>
        <w:t>。</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606"/>
        <w:gridCol w:w="2650"/>
        <w:gridCol w:w="757"/>
        <w:gridCol w:w="769"/>
        <w:gridCol w:w="757"/>
        <w:gridCol w:w="732"/>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49"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8"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265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526"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424"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66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trPr>
        <w:tc>
          <w:tcPr>
            <w:tcW w:w="649"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p>
        </w:tc>
        <w:tc>
          <w:tcPr>
            <w:tcW w:w="265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66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510822-06-036</w:t>
            </w:r>
          </w:p>
        </w:tc>
        <w:tc>
          <w:tcPr>
            <w:tcW w:w="265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幸福岛AR全景</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129</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2436</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15.5</w:t>
            </w:r>
          </w:p>
        </w:tc>
        <w:tc>
          <w:tcPr>
            <w:tcW w:w="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371.2</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trPr>
        <w:tc>
          <w:tcPr>
            <w:tcW w:w="64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510822-06-037</w:t>
            </w:r>
          </w:p>
        </w:tc>
        <w:tc>
          <w:tcPr>
            <w:tcW w:w="265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白水关AR全景</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129</w:t>
            </w:r>
          </w:p>
        </w:tc>
        <w:tc>
          <w:tcPr>
            <w:tcW w:w="7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2436</w:t>
            </w:r>
          </w:p>
        </w:tc>
        <w:tc>
          <w:tcPr>
            <w:tcW w:w="75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15.5</w:t>
            </w:r>
          </w:p>
        </w:tc>
        <w:tc>
          <w:tcPr>
            <w:tcW w:w="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371.2</w:t>
            </w:r>
          </w:p>
        </w:tc>
        <w:tc>
          <w:tcPr>
            <w:tcW w:w="66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pStyle w:val="8"/>
        <w:keepNext/>
        <w:keepLines/>
        <w:pageBreakBefore w:val="0"/>
        <w:widowControl w:val="0"/>
        <w:kinsoku/>
        <w:wordWrap/>
        <w:overflowPunct/>
        <w:topLinePunct w:val="0"/>
        <w:autoSpaceDE/>
        <w:autoSpaceDN/>
        <w:bidi w:val="0"/>
        <w:adjustRightInd/>
        <w:snapToGrid w:val="0"/>
        <w:spacing w:before="416" w:beforeLines="12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建设点位</w:t>
      </w:r>
    </w:p>
    <w:p>
      <w:pPr>
        <w:keepNext w:val="0"/>
        <w:keepLines w:val="0"/>
        <w:pageBreakBefore w:val="0"/>
        <w:widowControl w:val="0"/>
        <w:kinsoku/>
        <w:wordWrap/>
        <w:overflowPunct/>
        <w:topLinePunct w:val="0"/>
        <w:autoSpaceDE/>
        <w:autoSpaceDN/>
        <w:bidi w:val="0"/>
        <w:adjustRightInd w:val="0"/>
        <w:snapToGrid/>
        <w:spacing w:after="84" w:afterLines="2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本项目共计在白龙湖风景名胜区建设8套重点部位“三水”观测视频监控设备，详细点位清单见下表：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06"/>
        <w:gridCol w:w="1573"/>
        <w:gridCol w:w="1533"/>
        <w:gridCol w:w="1419"/>
        <w:gridCol w:w="999"/>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经度</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纬度</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监测分类（大类）</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Ⅰ.</w:t>
            </w:r>
          </w:p>
        </w:tc>
        <w:tc>
          <w:tcPr>
            <w:tcW w:w="7631" w:type="dxa"/>
            <w:gridSpan w:val="6"/>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视频监控摄像机2（即400万高点远距离云台摄像机）点位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510822-06-035</w:t>
            </w:r>
          </w:p>
        </w:tc>
        <w:tc>
          <w:tcPr>
            <w:tcW w:w="157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木鱼大草原全景监控</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105.41783599</w:t>
            </w:r>
          </w:p>
        </w:tc>
        <w:tc>
          <w:tcPr>
            <w:tcW w:w="128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32.63399685</w:t>
            </w:r>
          </w:p>
        </w:tc>
        <w:tc>
          <w:tcPr>
            <w:tcW w:w="99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水域巡查</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Ⅱ.</w:t>
            </w:r>
          </w:p>
        </w:tc>
        <w:tc>
          <w:tcPr>
            <w:tcW w:w="7631" w:type="dxa"/>
            <w:gridSpan w:val="6"/>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视频监控摄像机3（热成像双光谱中载云台摄像机）点位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510822-06-079</w:t>
            </w:r>
          </w:p>
        </w:tc>
        <w:tc>
          <w:tcPr>
            <w:tcW w:w="1573"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五里垭监控点</w:t>
            </w:r>
          </w:p>
        </w:tc>
        <w:tc>
          <w:tcPr>
            <w:tcW w:w="137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105.52592199 </w:t>
            </w:r>
          </w:p>
        </w:tc>
        <w:tc>
          <w:tcPr>
            <w:tcW w:w="1284"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32.70195357 </w:t>
            </w:r>
          </w:p>
        </w:tc>
        <w:tc>
          <w:tcPr>
            <w:tcW w:w="999"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水域及岸线巡查</w:t>
            </w:r>
          </w:p>
        </w:tc>
        <w:tc>
          <w:tcPr>
            <w:tcW w:w="1017"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510822-06-084</w:t>
            </w:r>
          </w:p>
        </w:tc>
        <w:tc>
          <w:tcPr>
            <w:tcW w:w="1573"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营盘码头监控点</w:t>
            </w:r>
          </w:p>
        </w:tc>
        <w:tc>
          <w:tcPr>
            <w:tcW w:w="137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105.50758947 </w:t>
            </w:r>
          </w:p>
        </w:tc>
        <w:tc>
          <w:tcPr>
            <w:tcW w:w="1284"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32.67811205 </w:t>
            </w:r>
          </w:p>
        </w:tc>
        <w:tc>
          <w:tcPr>
            <w:tcW w:w="999"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水域及岸线巡查</w:t>
            </w:r>
          </w:p>
        </w:tc>
        <w:tc>
          <w:tcPr>
            <w:tcW w:w="1017"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3</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510822-06-085</w:t>
            </w:r>
          </w:p>
        </w:tc>
        <w:tc>
          <w:tcPr>
            <w:tcW w:w="1573"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背（碑）梁上监控点</w:t>
            </w:r>
          </w:p>
        </w:tc>
        <w:tc>
          <w:tcPr>
            <w:tcW w:w="137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105.52105391 </w:t>
            </w:r>
          </w:p>
        </w:tc>
        <w:tc>
          <w:tcPr>
            <w:tcW w:w="1284"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32.66928140 </w:t>
            </w:r>
          </w:p>
        </w:tc>
        <w:tc>
          <w:tcPr>
            <w:tcW w:w="999"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水域及岸线巡查</w:t>
            </w:r>
          </w:p>
        </w:tc>
        <w:tc>
          <w:tcPr>
            <w:tcW w:w="1017"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4</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510822-06-086</w:t>
            </w:r>
          </w:p>
        </w:tc>
        <w:tc>
          <w:tcPr>
            <w:tcW w:w="1573"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韩家坪对面（毛坪盖）监控点</w:t>
            </w:r>
          </w:p>
        </w:tc>
        <w:tc>
          <w:tcPr>
            <w:tcW w:w="137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105.53154465 </w:t>
            </w:r>
          </w:p>
        </w:tc>
        <w:tc>
          <w:tcPr>
            <w:tcW w:w="1284"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32.68522717 </w:t>
            </w:r>
          </w:p>
        </w:tc>
        <w:tc>
          <w:tcPr>
            <w:tcW w:w="999"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水域及岸线巡查</w:t>
            </w:r>
          </w:p>
        </w:tc>
        <w:tc>
          <w:tcPr>
            <w:tcW w:w="1017"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5</w:t>
            </w:r>
          </w:p>
        </w:tc>
        <w:tc>
          <w:tcPr>
            <w:tcW w:w="1386"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510822-06-089</w:t>
            </w:r>
          </w:p>
        </w:tc>
        <w:tc>
          <w:tcPr>
            <w:tcW w:w="1573" w:type="dxa"/>
            <w:vAlign w:val="center"/>
          </w:tcPr>
          <w:p>
            <w:pPr>
              <w:adjustRightInd w:val="0"/>
              <w:snapToGrid/>
              <w:spacing w:line="240" w:lineRule="exact"/>
              <w:ind w:firstLine="0" w:firstLineChars="0"/>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大坪上码头监控点</w:t>
            </w:r>
          </w:p>
        </w:tc>
        <w:tc>
          <w:tcPr>
            <w:tcW w:w="137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105.52921262 </w:t>
            </w:r>
          </w:p>
        </w:tc>
        <w:tc>
          <w:tcPr>
            <w:tcW w:w="1284"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color w:val="000000"/>
                <w:sz w:val="18"/>
                <w:szCs w:val="18"/>
                <w:highlight w:val="none"/>
              </w:rPr>
              <w:t xml:space="preserve">32.65839533 </w:t>
            </w:r>
          </w:p>
        </w:tc>
        <w:tc>
          <w:tcPr>
            <w:tcW w:w="999"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水域及岸线巡查</w:t>
            </w:r>
          </w:p>
        </w:tc>
        <w:tc>
          <w:tcPr>
            <w:tcW w:w="1017"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Ⅲ.</w:t>
            </w:r>
          </w:p>
        </w:tc>
        <w:tc>
          <w:tcPr>
            <w:tcW w:w="7631"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视频监控摄像机4（即2400万高点AR全景摄像机）点位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510822-06-036</w:t>
            </w:r>
          </w:p>
        </w:tc>
        <w:tc>
          <w:tcPr>
            <w:tcW w:w="157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幸福岛AR全景</w:t>
            </w:r>
          </w:p>
        </w:tc>
        <w:tc>
          <w:tcPr>
            <w:tcW w:w="137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 xml:space="preserve">105.44262732 </w:t>
            </w:r>
          </w:p>
        </w:tc>
        <w:tc>
          <w:tcPr>
            <w:tcW w:w="12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 xml:space="preserve">32.65871424 </w:t>
            </w:r>
          </w:p>
        </w:tc>
        <w:tc>
          <w:tcPr>
            <w:tcW w:w="99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水域巡查</w:t>
            </w:r>
          </w:p>
        </w:tc>
        <w:tc>
          <w:tcPr>
            <w:tcW w:w="10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510822-06-037</w:t>
            </w:r>
          </w:p>
        </w:tc>
        <w:tc>
          <w:tcPr>
            <w:tcW w:w="157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白水关AR全景</w:t>
            </w:r>
          </w:p>
        </w:tc>
        <w:tc>
          <w:tcPr>
            <w:tcW w:w="137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105.51920734</w:t>
            </w:r>
          </w:p>
        </w:tc>
        <w:tc>
          <w:tcPr>
            <w:tcW w:w="128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32.69862633</w:t>
            </w:r>
          </w:p>
        </w:tc>
        <w:tc>
          <w:tcPr>
            <w:tcW w:w="99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水域巡查</w:t>
            </w:r>
          </w:p>
        </w:tc>
        <w:tc>
          <w:tcPr>
            <w:tcW w:w="10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重点湖区</w:t>
            </w:r>
          </w:p>
        </w:tc>
      </w:tr>
    </w:tbl>
    <w:p>
      <w:pPr>
        <w:pStyle w:val="8"/>
        <w:keepNext w:val="0"/>
        <w:keepLines w:val="0"/>
        <w:pageBreakBefore w:val="0"/>
        <w:widowControl w:val="0"/>
        <w:kinsoku/>
        <w:wordWrap/>
        <w:overflowPunct/>
        <w:topLinePunct w:val="0"/>
        <w:autoSpaceDE/>
        <w:autoSpaceDN/>
        <w:bidi w:val="0"/>
        <w:adjustRightInd w:val="0"/>
        <w:snapToGrid/>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配置清单</w:t>
      </w:r>
    </w:p>
    <w:tbl>
      <w:tblPr>
        <w:tblStyle w:val="19"/>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288"/>
        <w:gridCol w:w="804"/>
        <w:gridCol w:w="657"/>
        <w:gridCol w:w="2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blHeader/>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32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32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视频监控摄像机2（即400万高点远距离云台摄像机）</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搭载于通信运营商既有铁塔上，详细描述见分部分项工程量清单。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32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视频监控摄像机3（即热成像双光谱中载云台摄像机）</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采用离网风力和太阳能光伏发电系统供电。详细设计见相关图纸，详细描述见分部分项工程量清单。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lang w:eastAsia="zh-CN"/>
              </w:rPr>
            </w:pPr>
            <w:r>
              <w:rPr>
                <w:rFonts w:hint="default" w:asciiTheme="minorAscii" w:hAnsiTheme="minorAscii" w:eastAsiaTheme="minorEastAsia" w:cstheme="minorEastAsia"/>
                <w:sz w:val="18"/>
                <w:szCs w:val="18"/>
                <w:vertAlign w:val="baseline"/>
                <w:lang w:val="en-US" w:eastAsia="zh-CN"/>
              </w:rPr>
              <w:t>视频监控摄像机4（即</w:t>
            </w:r>
            <w:r>
              <w:rPr>
                <w:rFonts w:hint="default" w:asciiTheme="minorAscii" w:hAnsiTheme="minorAscii" w:eastAsiaTheme="minorEastAsia" w:cstheme="minorEastAsia"/>
                <w:sz w:val="18"/>
                <w:szCs w:val="18"/>
              </w:rPr>
              <w:t>2400万高点AR全景摄像机</w:t>
            </w:r>
            <w:r>
              <w:rPr>
                <w:rFonts w:hint="default" w:asciiTheme="minorAscii" w:hAnsiTheme="minorAscii" w:eastAsiaTheme="minorEastAsia" w:cstheme="minorEastAsia"/>
                <w:sz w:val="18"/>
                <w:szCs w:val="18"/>
                <w:lang w:eastAsia="zh-CN"/>
              </w:rPr>
              <w:t>）</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白水关AR全景点位的摄像机搭载于通信运营商既有铁塔上；幸福岛AR全景点位引用市电。详细设计见相关图纸，详细描述见分部分项工程量清单。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闪存卡</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张</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应急存储，保存时长2.5天以上。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5</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lang w:val="en-US" w:eastAsia="zh-CN"/>
              </w:rPr>
              <w:t>接入路由器</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户外防水网络音柱（</w:t>
            </w:r>
            <w:r>
              <w:rPr>
                <w:rFonts w:hint="default" w:asciiTheme="minorAscii" w:hAnsiTheme="minorAscii" w:eastAsiaTheme="minorEastAsia" w:cstheme="minorEastAsia"/>
                <w:sz w:val="18"/>
                <w:szCs w:val="18"/>
                <w:lang w:val="en-US" w:eastAsia="zh-CN"/>
              </w:rPr>
              <w:t>3</w:t>
            </w:r>
            <w:r>
              <w:rPr>
                <w:rFonts w:hint="default" w:asciiTheme="minorAscii" w:hAnsiTheme="minorAscii" w:eastAsiaTheme="minorEastAsia" w:cstheme="minorEastAsia"/>
                <w:sz w:val="18"/>
                <w:szCs w:val="18"/>
              </w:rPr>
              <w:t>0W）</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7</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一体化风光储能柱（10m）</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8</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横臂（1m）</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根</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lang w:val="en-US" w:eastAsia="zh-CN"/>
              </w:rPr>
              <w:t>视频监控</w:t>
            </w:r>
            <w:r>
              <w:rPr>
                <w:rFonts w:hint="default" w:asciiTheme="minorAscii" w:hAnsiTheme="minorAscii" w:eastAsiaTheme="minorEastAsia" w:cstheme="minorEastAsia"/>
                <w:sz w:val="18"/>
                <w:szCs w:val="18"/>
              </w:rPr>
              <w:t>摄像机</w:t>
            </w:r>
            <w:r>
              <w:rPr>
                <w:rFonts w:hint="default" w:asciiTheme="minorAscii" w:hAnsiTheme="minorAscii" w:eastAsiaTheme="minorEastAsia" w:cstheme="minorEastAsia"/>
                <w:sz w:val="18"/>
                <w:szCs w:val="18"/>
                <w:lang w:val="en-US" w:eastAsia="zh-CN"/>
              </w:rPr>
              <w:t>4安装支臂，</w:t>
            </w: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横臂（0.5m）</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根</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视频监控摄像机3安装支臂，详细设计见相关图纸，详细描述见分部分项工程量清单。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10</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钢制塔载支架</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副</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用于铁塔上安装视频监控摄像机2和</w:t>
            </w:r>
            <w:r>
              <w:rPr>
                <w:rFonts w:hint="default" w:asciiTheme="minorAscii" w:hAnsiTheme="minorAscii" w:eastAsiaTheme="minorEastAsia" w:cstheme="minorEastAsia"/>
                <w:sz w:val="18"/>
                <w:szCs w:val="18"/>
                <w:lang w:val="en-US" w:eastAsia="zh-CN"/>
              </w:rPr>
              <w:t>视频监控</w:t>
            </w:r>
            <w:r>
              <w:rPr>
                <w:rFonts w:hint="default" w:asciiTheme="minorAscii" w:hAnsiTheme="minorAscii" w:eastAsiaTheme="minorEastAsia" w:cstheme="minorEastAsia"/>
                <w:sz w:val="18"/>
                <w:szCs w:val="18"/>
              </w:rPr>
              <w:t>摄像机</w:t>
            </w:r>
            <w:r>
              <w:rPr>
                <w:rFonts w:hint="default" w:asciiTheme="minorAscii" w:hAnsiTheme="minorAscii" w:eastAsiaTheme="minorEastAsia" w:cstheme="minorEastAsia"/>
                <w:sz w:val="18"/>
                <w:szCs w:val="18"/>
                <w:lang w:val="en-US" w:eastAsia="zh-CN"/>
              </w:rPr>
              <w:t>4</w:t>
            </w: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11</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柱（杆）挂设备箱</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12</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一体化地台地笼</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副</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用于</w:t>
            </w:r>
            <w:r>
              <w:rPr>
                <w:rFonts w:hint="default" w:asciiTheme="minorAscii" w:hAnsiTheme="minorAscii" w:eastAsiaTheme="minorEastAsia" w:cstheme="minorEastAsia"/>
                <w:sz w:val="18"/>
                <w:szCs w:val="18"/>
              </w:rPr>
              <w:t>幸福岛AR全景</w:t>
            </w:r>
            <w:r>
              <w:rPr>
                <w:rFonts w:hint="default" w:asciiTheme="minorAscii" w:hAnsiTheme="minorAscii" w:eastAsiaTheme="minorEastAsia" w:cstheme="minorEastAsia"/>
                <w:sz w:val="18"/>
                <w:szCs w:val="18"/>
                <w:lang w:val="en-US" w:eastAsia="zh-CN"/>
              </w:rPr>
              <w:t>点位，</w:t>
            </w: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13</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一体化地台混凝土基础</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墩</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用于</w:t>
            </w:r>
            <w:r>
              <w:rPr>
                <w:rFonts w:hint="default" w:asciiTheme="minorAscii" w:hAnsiTheme="minorAscii" w:eastAsiaTheme="minorEastAsia" w:cstheme="minorEastAsia"/>
                <w:sz w:val="18"/>
                <w:szCs w:val="18"/>
              </w:rPr>
              <w:t>幸福岛AR全景</w:t>
            </w:r>
            <w:r>
              <w:rPr>
                <w:rFonts w:hint="default" w:asciiTheme="minorAscii" w:hAnsiTheme="minorAscii" w:eastAsiaTheme="minorEastAsia" w:cstheme="minorEastAsia"/>
                <w:sz w:val="18"/>
                <w:szCs w:val="18"/>
                <w:lang w:val="en-US" w:eastAsia="zh-CN"/>
              </w:rPr>
              <w:t>点位，</w:t>
            </w: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14</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中载云台地笼</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副</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15</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中载云台混凝土基础</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墩</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16</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防雷接地装置</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17</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手孔井</w:t>
            </w:r>
          </w:p>
        </w:tc>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6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个</w:t>
            </w:r>
          </w:p>
        </w:tc>
        <w:tc>
          <w:tcPr>
            <w:tcW w:w="28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18</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设备侧电源线（3*1.5）</w:t>
            </w:r>
          </w:p>
        </w:tc>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200</w:t>
            </w:r>
          </w:p>
        </w:tc>
        <w:tc>
          <w:tcPr>
            <w:tcW w:w="6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米</w:t>
            </w:r>
          </w:p>
        </w:tc>
        <w:tc>
          <w:tcPr>
            <w:tcW w:w="28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19</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六类网线</w:t>
            </w:r>
          </w:p>
        </w:tc>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120</w:t>
            </w:r>
          </w:p>
        </w:tc>
        <w:tc>
          <w:tcPr>
            <w:tcW w:w="6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米</w:t>
            </w:r>
          </w:p>
        </w:tc>
        <w:tc>
          <w:tcPr>
            <w:tcW w:w="284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20</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市电引入</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5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处</w:t>
            </w:r>
          </w:p>
        </w:tc>
        <w:tc>
          <w:tcPr>
            <w:tcW w:w="284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幸福岛AR全景点位</w:t>
            </w:r>
          </w:p>
        </w:tc>
      </w:tr>
    </w:tbl>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视频监控摄像机5</w:t>
      </w:r>
    </w:p>
    <w:p>
      <w:pPr>
        <w:pStyle w:val="8"/>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白龙湖风景名胜区视频监控系统是一个集前端采集、传输网络、监控中心平台、报警与联动系统以及存储与备份系统于一体的综合性</w:t>
      </w:r>
      <w:r>
        <w:rPr>
          <w:rFonts w:hint="default" w:asciiTheme="minorAscii" w:hAnsiTheme="minorAscii" w:eastAsiaTheme="minorEastAsia" w:cstheme="minorEastAsia"/>
          <w:sz w:val="24"/>
          <w:szCs w:val="24"/>
          <w:lang w:val="en-US" w:eastAsia="zh-CN"/>
        </w:rPr>
        <w:t>观测、</w:t>
      </w:r>
      <w:r>
        <w:rPr>
          <w:rFonts w:hint="default" w:asciiTheme="minorAscii" w:hAnsiTheme="minorAscii" w:eastAsiaTheme="minorEastAsia" w:cstheme="minorEastAsia"/>
          <w:sz w:val="24"/>
          <w:szCs w:val="24"/>
        </w:rPr>
        <w:t>防</w:t>
      </w:r>
      <w:r>
        <w:rPr>
          <w:rFonts w:hint="default" w:asciiTheme="minorAscii" w:hAnsiTheme="minorAscii" w:eastAsiaTheme="minorEastAsia" w:cstheme="minorEastAsia"/>
          <w:sz w:val="24"/>
          <w:szCs w:val="24"/>
          <w:lang w:val="en-US" w:eastAsia="zh-CN"/>
        </w:rPr>
        <w:t>控</w:t>
      </w:r>
      <w:r>
        <w:rPr>
          <w:rFonts w:hint="default" w:asciiTheme="minorAscii" w:hAnsiTheme="minorAscii" w:eastAsiaTheme="minorEastAsia" w:cstheme="minorEastAsia"/>
          <w:sz w:val="24"/>
          <w:szCs w:val="24"/>
        </w:rPr>
        <w:t>体系，旨在</w:t>
      </w:r>
      <w:r>
        <w:rPr>
          <w:rFonts w:hint="default" w:asciiTheme="minorAscii" w:hAnsiTheme="minorAscii" w:eastAsiaTheme="minorEastAsia" w:cstheme="minorEastAsia"/>
          <w:sz w:val="24"/>
          <w:szCs w:val="24"/>
          <w:lang w:val="en-US" w:eastAsia="zh-CN"/>
        </w:rPr>
        <w:t>围绕“治湖护湖管湖”强化</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三水一体</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协同管控能力和</w:t>
      </w:r>
      <w:r>
        <w:rPr>
          <w:rFonts w:hint="default" w:asciiTheme="minorAscii" w:hAnsiTheme="minorAscii" w:eastAsiaTheme="minorEastAsia" w:cstheme="minorEastAsia"/>
          <w:sz w:val="24"/>
          <w:szCs w:val="24"/>
        </w:rPr>
        <w:t>提升</w:t>
      </w:r>
      <w:r>
        <w:rPr>
          <w:rFonts w:hint="default" w:asciiTheme="minorAscii" w:hAnsiTheme="minorAscii" w:eastAsiaTheme="minorEastAsia" w:cstheme="minorEastAsia"/>
          <w:sz w:val="24"/>
          <w:szCs w:val="24"/>
          <w:lang w:val="en-US" w:eastAsia="zh-CN"/>
        </w:rPr>
        <w:t>湖</w:t>
      </w:r>
      <w:r>
        <w:rPr>
          <w:rFonts w:hint="default" w:asciiTheme="minorAscii" w:hAnsiTheme="minorAscii" w:eastAsiaTheme="minorEastAsia" w:cstheme="minorEastAsia"/>
          <w:sz w:val="24"/>
          <w:szCs w:val="24"/>
        </w:rPr>
        <w:t>区</w:t>
      </w:r>
      <w:r>
        <w:rPr>
          <w:rFonts w:hint="default" w:asciiTheme="minorAscii" w:hAnsiTheme="minorAscii" w:eastAsiaTheme="minorEastAsia" w:cstheme="minorEastAsia"/>
          <w:sz w:val="24"/>
          <w:szCs w:val="24"/>
          <w:lang w:val="en-US" w:eastAsia="zh-CN"/>
        </w:rPr>
        <w:t>生态效益</w:t>
      </w:r>
      <w:r>
        <w:rPr>
          <w:rFonts w:hint="default" w:asciiTheme="minorAscii" w:hAnsiTheme="minorAscii" w:eastAsiaTheme="minorEastAsia" w:cstheme="minorEastAsia"/>
          <w:sz w:val="24"/>
          <w:szCs w:val="24"/>
          <w:lang w:eastAsia="zh-CN"/>
        </w:rPr>
        <w:t>。</w:t>
      </w:r>
    </w:p>
    <w:p>
      <w:pPr>
        <w:pStyle w:val="8"/>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点位选取原则</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优先覆盖生态价值高的区域，通过高清摄像机捕捉细节，防范非法捕捞、破坏植被等</w:t>
      </w:r>
      <w:r>
        <w:rPr>
          <w:rFonts w:hint="default" w:asciiTheme="minorAscii" w:hAnsiTheme="minorAscii" w:eastAsiaTheme="minorEastAsia" w:cstheme="minorEastAsia"/>
          <w:sz w:val="24"/>
          <w:szCs w:val="24"/>
          <w:lang w:val="en-US" w:eastAsia="zh-CN"/>
        </w:rPr>
        <w:t>违法</w:t>
      </w:r>
      <w:r>
        <w:rPr>
          <w:rFonts w:hint="default" w:asciiTheme="minorAscii" w:hAnsiTheme="minorAscii" w:eastAsiaTheme="minorEastAsia" w:cstheme="minorEastAsia"/>
          <w:sz w:val="24"/>
          <w:szCs w:val="24"/>
        </w:rPr>
        <w:t>行为；</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kern w:val="2"/>
          <w:sz w:val="24"/>
          <w:szCs w:val="24"/>
          <w:lang w:val="en-US" w:eastAsia="zh-CN" w:bidi="ar-SA"/>
        </w:rPr>
      </w:pPr>
      <w:r>
        <w:rPr>
          <w:rFonts w:hint="default" w:asciiTheme="minorAscii" w:hAnsiTheme="minorAscii" w:eastAsiaTheme="minorEastAsia" w:cstheme="minorEastAsia"/>
          <w:kern w:val="2"/>
          <w:sz w:val="24"/>
          <w:szCs w:val="24"/>
          <w:lang w:val="en-US" w:eastAsia="zh-CN" w:bidi="ar-SA"/>
        </w:rPr>
        <w:t>在景区入口、观景台、步道交汇点、码头等游客聚集区部署摄像机，实时监测人流状况；</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kern w:val="2"/>
          <w:sz w:val="24"/>
          <w:szCs w:val="24"/>
          <w:lang w:val="en-US" w:eastAsia="zh-CN" w:bidi="ar-SA"/>
        </w:rPr>
      </w:pPr>
      <w:r>
        <w:rPr>
          <w:rFonts w:hint="default" w:asciiTheme="minorAscii" w:hAnsiTheme="minorAscii" w:eastAsiaTheme="minorEastAsia" w:cstheme="minorEastAsia"/>
          <w:kern w:val="2"/>
          <w:sz w:val="24"/>
          <w:szCs w:val="24"/>
          <w:lang w:val="en-US" w:eastAsia="zh-CN" w:bidi="ar-SA"/>
        </w:rPr>
        <w:t>针对事故高发危险地段设置监控点，及时预警游客越界或危险行为。</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选址需位于空旷地段，减少树木、房屋等障碍物遮挡；</w:t>
      </w:r>
    </w:p>
    <w:p>
      <w:pPr>
        <w:keepNext w:val="0"/>
        <w:keepLines w:val="0"/>
        <w:pageBreakBefore w:val="0"/>
        <w:widowControl w:val="0"/>
        <w:numPr>
          <w:ilvl w:val="0"/>
          <w:numId w:val="21"/>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应选取</w:t>
      </w:r>
      <w:r>
        <w:rPr>
          <w:rFonts w:hint="default" w:asciiTheme="minorAscii" w:hAnsiTheme="minorAscii" w:eastAsiaTheme="minorEastAsia" w:cstheme="minorEastAsia"/>
          <w:sz w:val="24"/>
          <w:szCs w:val="24"/>
          <w:lang w:val="en-US" w:eastAsia="zh-CN"/>
        </w:rPr>
        <w:t>运营商4G/5G信号已覆盖、电力供应有保障、</w:t>
      </w:r>
      <w:r>
        <w:rPr>
          <w:rFonts w:hint="default" w:asciiTheme="minorAscii" w:hAnsiTheme="minorAscii" w:eastAsiaTheme="minorEastAsia" w:cstheme="minorEastAsia"/>
          <w:sz w:val="24"/>
          <w:szCs w:val="24"/>
        </w:rPr>
        <w:t>交通方便的区域</w:t>
      </w:r>
      <w:r>
        <w:rPr>
          <w:rFonts w:hint="default" w:asciiTheme="minorAscii" w:hAnsiTheme="minorAscii" w:eastAsiaTheme="minorEastAsia" w:cstheme="minorEastAsia"/>
          <w:sz w:val="24"/>
          <w:szCs w:val="24"/>
          <w:lang w:eastAsia="zh-CN"/>
        </w:rPr>
        <w:t>。</w:t>
      </w:r>
    </w:p>
    <w:p>
      <w:pPr>
        <w:pStyle w:val="8"/>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系统构成</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系统由视频监控</w:t>
      </w:r>
      <w:r>
        <w:rPr>
          <w:rFonts w:hint="default" w:asciiTheme="minorAscii" w:hAnsiTheme="minorAscii" w:eastAsiaTheme="minorEastAsia" w:cstheme="minorEastAsia"/>
          <w:sz w:val="24"/>
          <w:szCs w:val="24"/>
          <w:vertAlign w:val="baseline"/>
          <w:lang w:val="en-US" w:eastAsia="zh-CN"/>
        </w:rPr>
        <w:t>摄像机</w:t>
      </w:r>
      <w:r>
        <w:rPr>
          <w:rFonts w:hint="default" w:asciiTheme="minorAscii" w:hAnsiTheme="minorAscii" w:eastAsiaTheme="minorEastAsia" w:cstheme="minorEastAsia"/>
          <w:sz w:val="24"/>
          <w:szCs w:val="24"/>
          <w:lang w:val="en-US" w:eastAsia="zh-CN"/>
        </w:rPr>
        <w:t>、</w:t>
      </w:r>
      <w:r>
        <w:rPr>
          <w:rFonts w:hint="default" w:asciiTheme="minorAscii" w:hAnsiTheme="minorAscii" w:eastAsiaTheme="minorEastAsia" w:cstheme="minorEastAsia"/>
          <w:sz w:val="24"/>
          <w:szCs w:val="24"/>
        </w:rPr>
        <w:t>供电系统</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等组成。</w:t>
      </w:r>
      <w:r>
        <w:rPr>
          <w:rFonts w:hint="default" w:asciiTheme="minorAscii" w:hAnsiTheme="minorAscii" w:eastAsiaTheme="minorEastAsia" w:cstheme="minorEastAsia"/>
          <w:sz w:val="24"/>
          <w:szCs w:val="24"/>
          <w:lang w:val="en-US" w:eastAsia="zh-CN"/>
        </w:rPr>
        <w:t>视频监控</w:t>
      </w:r>
      <w:r>
        <w:rPr>
          <w:rFonts w:hint="default" w:asciiTheme="minorAscii" w:hAnsiTheme="minorAscii" w:eastAsiaTheme="minorEastAsia" w:cstheme="minorEastAsia"/>
          <w:sz w:val="24"/>
          <w:szCs w:val="24"/>
          <w:vertAlign w:val="baseline"/>
          <w:lang w:val="en-US" w:eastAsia="zh-CN"/>
        </w:rPr>
        <w:t>摄像机</w:t>
      </w:r>
      <w:r>
        <w:rPr>
          <w:rFonts w:hint="default" w:asciiTheme="minorAscii" w:hAnsiTheme="minorAscii" w:eastAsiaTheme="minorEastAsia" w:cstheme="minorEastAsia"/>
          <w:sz w:val="24"/>
          <w:szCs w:val="24"/>
          <w:lang w:val="en-US" w:eastAsia="zh-CN"/>
        </w:rPr>
        <w:t>实现对观测湖岸植被异动情况、渔船检测，船流量统计和防挖沙船只等的实时监测与分析；</w:t>
      </w:r>
      <w:r>
        <w:rPr>
          <w:rFonts w:hint="default" w:asciiTheme="minorAscii" w:hAnsiTheme="minorAscii" w:eastAsiaTheme="minorEastAsia" w:cstheme="minorEastAsia"/>
          <w:sz w:val="24"/>
          <w:szCs w:val="24"/>
        </w:rPr>
        <w:t>供电</w:t>
      </w:r>
      <w:r>
        <w:rPr>
          <w:rFonts w:hint="default" w:asciiTheme="minorAscii" w:hAnsiTheme="minorAscii" w:eastAsiaTheme="minorEastAsia" w:cstheme="minorEastAsia"/>
          <w:sz w:val="24"/>
          <w:szCs w:val="24"/>
          <w:lang w:val="en-US" w:eastAsia="zh-CN"/>
        </w:rPr>
        <w:t>系统由一体化光储能柱组成</w:t>
      </w:r>
      <w:r>
        <w:rPr>
          <w:rFonts w:hint="default" w:asciiTheme="minorAscii" w:hAnsiTheme="minorAscii" w:eastAsiaTheme="minorEastAsia" w:cstheme="minorEastAsia"/>
          <w:sz w:val="24"/>
          <w:szCs w:val="24"/>
        </w:rPr>
        <w:t>，为相应设备供电；</w:t>
      </w:r>
      <w:r>
        <w:rPr>
          <w:rFonts w:hint="default" w:asciiTheme="minorAscii" w:hAnsiTheme="minorAscii" w:eastAsiaTheme="minorEastAsia" w:cstheme="minorEastAsia"/>
          <w:sz w:val="24"/>
          <w:szCs w:val="24"/>
          <w:lang w:val="en-US" w:eastAsia="zh-CN"/>
        </w:rPr>
        <w:t>传输系统</w:t>
      </w:r>
      <w:r>
        <w:rPr>
          <w:rFonts w:hint="default" w:asciiTheme="minorAscii" w:hAnsiTheme="minorAscii" w:eastAsiaTheme="minorEastAsia" w:cstheme="minorEastAsia"/>
          <w:sz w:val="24"/>
          <w:szCs w:val="24"/>
        </w:rPr>
        <w:t>完成数据</w:t>
      </w:r>
      <w:r>
        <w:rPr>
          <w:rFonts w:hint="default" w:asciiTheme="minorAscii" w:hAnsiTheme="minorAscii" w:eastAsiaTheme="minorEastAsia" w:cstheme="minorEastAsia"/>
          <w:sz w:val="24"/>
          <w:szCs w:val="24"/>
          <w:lang w:val="en-US" w:eastAsia="zh-CN"/>
        </w:rPr>
        <w:t>与视频</w:t>
      </w:r>
      <w:r>
        <w:rPr>
          <w:rFonts w:hint="default" w:asciiTheme="minorAscii" w:hAnsiTheme="minorAscii" w:eastAsiaTheme="minorEastAsia" w:cstheme="minorEastAsia"/>
          <w:sz w:val="24"/>
          <w:szCs w:val="24"/>
        </w:rPr>
        <w:t>的</w:t>
      </w:r>
      <w:r>
        <w:rPr>
          <w:rFonts w:hint="default" w:asciiTheme="minorAscii" w:hAnsiTheme="minorAscii" w:eastAsiaTheme="minorEastAsia" w:cstheme="minorEastAsia"/>
          <w:sz w:val="24"/>
          <w:szCs w:val="24"/>
          <w:lang w:val="en-US" w:eastAsia="zh-CN"/>
        </w:rPr>
        <w:t>传输</w:t>
      </w:r>
      <w:r>
        <w:rPr>
          <w:rFonts w:hint="default" w:asciiTheme="minorAscii" w:hAnsiTheme="minorAscii" w:eastAsiaTheme="minorEastAsia" w:cstheme="minorEastAsia"/>
          <w:sz w:val="24"/>
          <w:szCs w:val="24"/>
        </w:rPr>
        <w:t>，使在线监测的数据</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视频</w:t>
      </w:r>
      <w:r>
        <w:rPr>
          <w:rFonts w:hint="default" w:asciiTheme="minorAscii" w:hAnsiTheme="minorAscii" w:eastAsiaTheme="minorEastAsia" w:cstheme="minorEastAsia"/>
          <w:sz w:val="24"/>
          <w:szCs w:val="24"/>
        </w:rPr>
        <w:t>通过</w:t>
      </w:r>
      <w:r>
        <w:rPr>
          <w:rFonts w:hint="default" w:asciiTheme="minorAscii" w:hAnsiTheme="minorAscii" w:eastAsiaTheme="minorEastAsia" w:cstheme="minorEastAsia"/>
          <w:sz w:val="24"/>
          <w:szCs w:val="24"/>
          <w:lang w:val="en-US" w:eastAsia="zh-CN"/>
        </w:rPr>
        <w:t>4G/5G</w:t>
      </w:r>
      <w:r>
        <w:rPr>
          <w:rFonts w:hint="default" w:asciiTheme="minorAscii" w:hAnsiTheme="minorAscii" w:eastAsiaTheme="minorEastAsia" w:cstheme="minorEastAsia"/>
          <w:sz w:val="24"/>
          <w:szCs w:val="24"/>
        </w:rPr>
        <w:t>网络</w:t>
      </w:r>
      <w:r>
        <w:rPr>
          <w:rFonts w:hint="default" w:asciiTheme="minorAscii" w:hAnsiTheme="minorAscii" w:eastAsiaTheme="minorEastAsia" w:cstheme="minorEastAsia"/>
          <w:sz w:val="24"/>
          <w:szCs w:val="24"/>
          <w:lang w:val="en-US" w:eastAsia="zh-CN"/>
        </w:rPr>
        <w:t>或者有线网络</w:t>
      </w:r>
      <w:r>
        <w:rPr>
          <w:rFonts w:hint="default" w:asciiTheme="minorAscii" w:hAnsiTheme="minorAscii" w:eastAsiaTheme="minorEastAsia" w:cstheme="minorEastAsia"/>
          <w:sz w:val="24"/>
          <w:szCs w:val="24"/>
        </w:rPr>
        <w:t>发布到监管平台。</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鉴于监测站点现场踏勘时部分取样点的经纬度是在公务艇甲板上测量的，故在项目具体实施时现场安装施工落点宜结合环境条件、地质稳定性、土地占用可协调性等因素作适当调整，允许经纬度偏差半径1000m。</w:t>
      </w:r>
    </w:p>
    <w:p>
      <w:pPr>
        <w:ind w:left="0" w:leftChars="0" w:firstLine="0" w:firstLineChars="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5267325" cy="2795905"/>
            <wp:effectExtent l="0" t="0" r="5715" b="825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9"/>
                    <a:stretch>
                      <a:fillRect/>
                    </a:stretch>
                  </pic:blipFill>
                  <pic:spPr>
                    <a:xfrm>
                      <a:off x="0" y="0"/>
                      <a:ext cx="5267325" cy="27959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167" w:afterLines="50"/>
        <w:ind w:left="0" w:leftChars="0" w:firstLine="0" w:firstLineChars="0"/>
        <w:jc w:val="center"/>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图17 视频监控摄像机5（即800万全景感知摄像机）系统构成图</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heme="minorAscii" w:hAnsiTheme="minorAscii" w:eastAsiaTheme="minorEastAsia" w:cstheme="minorEastAsia"/>
          <w:b w:val="0"/>
          <w:bCs w:val="0"/>
          <w:sz w:val="24"/>
          <w:szCs w:val="24"/>
          <w:lang w:val="en-US" w:eastAsia="zh-CN"/>
        </w:rPr>
      </w:pPr>
      <w:r>
        <w:rPr>
          <w:rFonts w:hint="default" w:asciiTheme="minorAscii" w:hAnsiTheme="minorAscii" w:eastAsiaTheme="minorEastAsia" w:cstheme="minorEastAsia"/>
          <w:b w:val="0"/>
          <w:bCs w:val="0"/>
          <w:sz w:val="24"/>
          <w:szCs w:val="24"/>
          <w:lang w:val="en-US" w:eastAsia="zh-CN"/>
        </w:rPr>
        <w:t>视频监控摄像机5（即800万全景感知摄像机）点位共有22处，其系统构成如图17所示，其中：20处采用离网风力和太阳能光伏发电系统供电；2处作为人员难以抵达的水质监测站配建辅助监测系统的组成部分引用市电。</w:t>
      </w:r>
    </w:p>
    <w:p>
      <w:pPr>
        <w:keepNext w:val="0"/>
        <w:keepLines w:val="0"/>
        <w:pageBreakBefore w:val="0"/>
        <w:widowControl w:val="0"/>
        <w:kinsoku/>
        <w:wordWrap/>
        <w:overflowPunct/>
        <w:topLinePunct w:val="0"/>
        <w:autoSpaceDE/>
        <w:autoSpaceDN/>
        <w:bidi w:val="0"/>
        <w:adjustRightInd w:val="0"/>
        <w:snapToGrid w:val="0"/>
        <w:spacing w:after="167" w:afterLines="50"/>
        <w:ind w:left="0" w:leftChars="0" w:firstLine="480" w:firstLineChars="200"/>
        <w:jc w:val="both"/>
        <w:textAlignment w:val="auto"/>
        <w:rPr>
          <w:rFonts w:hint="default" w:asciiTheme="minorAscii" w:hAnsiTheme="minorAscii" w:eastAsiaTheme="minorEastAsia" w:cstheme="minorEastAsia"/>
          <w:b w:val="0"/>
          <w:bCs w:val="0"/>
          <w:sz w:val="24"/>
          <w:szCs w:val="24"/>
          <w:lang w:val="en-US" w:eastAsia="zh-CN"/>
        </w:rPr>
      </w:pPr>
      <w:r>
        <w:rPr>
          <w:rFonts w:hint="default" w:asciiTheme="minorAscii" w:hAnsiTheme="minorAscii" w:eastAsiaTheme="minorEastAsia" w:cstheme="minorEastAsia"/>
          <w:b w:val="0"/>
          <w:bCs w:val="0"/>
          <w:sz w:val="24"/>
          <w:szCs w:val="24"/>
          <w:lang w:val="en-US" w:eastAsia="zh-CN"/>
        </w:rPr>
        <w:t>本项目配建4处辅助监测系统，均在侧旁相应配套视频监控摄像机5（即800万全景感知摄像机）点位，同时配备户外交互式触控终端和观察水质监测站望远镜，便于管理局（发展中心工作人员）观察、记录湖区重点部位的“三水”状态；便于巡视人员调阅历史记录及景区其他站点的数据和AI关联事件等。</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rPr>
          <w:rFonts w:hint="default" w:asciiTheme="minorAscii" w:hAnsiTheme="minorAscii" w:eastAsiaTheme="minorEastAsia" w:cstheme="minorEastAsia"/>
          <w:b w:val="0"/>
          <w:bCs w:val="0"/>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5276850" cy="2317115"/>
            <wp:effectExtent l="0" t="0" r="11430" b="14605"/>
            <wp:docPr id="1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6"/>
                    <pic:cNvPicPr>
                      <a:picLocks noChangeAspect="1"/>
                    </pic:cNvPicPr>
                  </pic:nvPicPr>
                  <pic:blipFill>
                    <a:blip r:embed="rId20"/>
                    <a:stretch>
                      <a:fillRect/>
                    </a:stretch>
                  </pic:blipFill>
                  <pic:spPr>
                    <a:xfrm>
                      <a:off x="0" y="0"/>
                      <a:ext cx="5276850" cy="23171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heme="minorAscii" w:hAnsiTheme="minorAscii" w:eastAsiaTheme="minorEastAsia" w:cstheme="minorEastAsia"/>
          <w:b w:val="0"/>
          <w:bCs w:val="0"/>
          <w:sz w:val="24"/>
          <w:szCs w:val="24"/>
          <w:lang w:val="en-US" w:eastAsia="zh-CN"/>
        </w:rPr>
      </w:pPr>
      <w:r>
        <w:rPr>
          <w:rFonts w:hint="default" w:asciiTheme="minorAscii" w:hAnsiTheme="minorAscii" w:eastAsiaTheme="minorEastAsia" w:cstheme="minorEastAsia"/>
          <w:b/>
          <w:bCs/>
          <w:sz w:val="24"/>
          <w:szCs w:val="24"/>
          <w:lang w:val="en-US" w:eastAsia="zh-CN"/>
        </w:rPr>
        <w:t>图18 人员难以抵达的水质监测站配建辅助监测系统的安装部署示意图</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通过部署在关键点的</w:t>
      </w:r>
      <w:r>
        <w:rPr>
          <w:rFonts w:hint="default" w:asciiTheme="minorAscii" w:hAnsiTheme="minorAscii" w:eastAsiaTheme="minorEastAsia" w:cstheme="minorEastAsia"/>
          <w:sz w:val="24"/>
          <w:szCs w:val="24"/>
          <w:lang w:val="en-US" w:eastAsia="zh-CN"/>
        </w:rPr>
        <w:t>视频监控</w:t>
      </w:r>
      <w:r>
        <w:rPr>
          <w:rFonts w:hint="default" w:asciiTheme="minorAscii" w:hAnsiTheme="minorAscii" w:eastAsiaTheme="minorEastAsia" w:cstheme="minorEastAsia"/>
          <w:sz w:val="24"/>
          <w:szCs w:val="24"/>
        </w:rPr>
        <w:t>设备，实时采集</w:t>
      </w:r>
      <w:r>
        <w:rPr>
          <w:rFonts w:hint="default" w:asciiTheme="minorAscii" w:hAnsiTheme="minorAscii" w:eastAsiaTheme="minorEastAsia" w:cstheme="minorEastAsia"/>
          <w:sz w:val="24"/>
          <w:szCs w:val="24"/>
          <w:lang w:val="en-US" w:eastAsia="zh-CN"/>
        </w:rPr>
        <w:t>现场监控画面，</w:t>
      </w:r>
      <w:r>
        <w:rPr>
          <w:rFonts w:hint="default" w:asciiTheme="minorAscii" w:hAnsiTheme="minorAscii" w:eastAsiaTheme="minorEastAsia" w:cstheme="minorEastAsia"/>
          <w:sz w:val="24"/>
          <w:szCs w:val="24"/>
        </w:rPr>
        <w:t>并</w:t>
      </w:r>
      <w:r>
        <w:rPr>
          <w:rFonts w:hint="default" w:asciiTheme="minorAscii" w:hAnsiTheme="minorAscii" w:eastAsiaTheme="minorEastAsia" w:cstheme="minorEastAsia"/>
          <w:sz w:val="24"/>
          <w:szCs w:val="24"/>
          <w:lang w:val="en-US" w:eastAsia="zh-CN"/>
        </w:rPr>
        <w:t>通过平台进行分析</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z w:val="24"/>
          <w:szCs w:val="24"/>
          <w:lang w:val="en-US" w:eastAsia="zh-CN"/>
        </w:rPr>
        <w:t>并结合本项目建设其余信息化设备，</w:t>
      </w:r>
      <w:r>
        <w:rPr>
          <w:rFonts w:hint="default" w:asciiTheme="minorAscii" w:hAnsiTheme="minorAscii" w:eastAsiaTheme="minorEastAsia" w:cstheme="minorEastAsia"/>
          <w:sz w:val="24"/>
          <w:szCs w:val="24"/>
        </w:rPr>
        <w:t>从而实现对</w:t>
      </w:r>
      <w:r>
        <w:rPr>
          <w:rFonts w:hint="default" w:asciiTheme="minorAscii" w:hAnsiTheme="minorAscii" w:eastAsiaTheme="minorEastAsia" w:cstheme="minorEastAsia"/>
          <w:sz w:val="24"/>
          <w:szCs w:val="24"/>
          <w:lang w:val="en-US" w:eastAsia="zh-CN"/>
        </w:rPr>
        <w:t>白龙湖风景名胜区全方位的</w:t>
      </w:r>
      <w:r>
        <w:rPr>
          <w:rFonts w:hint="default" w:asciiTheme="minorAscii" w:hAnsiTheme="minorAscii" w:eastAsiaTheme="minorEastAsia" w:cstheme="minorEastAsia"/>
          <w:sz w:val="24"/>
          <w:szCs w:val="24"/>
        </w:rPr>
        <w:t>有效监管。</w:t>
      </w: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前端摄像头不小于 800 万像素，分辨率不小于 3840 × 2160，能够清晰捕捉水域及岸线水面上漂浮的微小杂物、水生生物的活动，还是岸线边游客的行为举止、建筑设施的外观状况</w:t>
      </w:r>
      <w:r>
        <w:rPr>
          <w:rFonts w:hint="default" w:asciiTheme="minorAscii" w:hAnsiTheme="minorAscii" w:eastAsiaTheme="minorEastAsia" w:cstheme="minorEastAsia"/>
          <w:sz w:val="24"/>
          <w:szCs w:val="24"/>
          <w:lang w:val="en-US" w:eastAsia="zh-CN"/>
        </w:rPr>
        <w:t>等</w:t>
      </w:r>
      <w:r>
        <w:rPr>
          <w:rFonts w:hint="default" w:asciiTheme="minorAscii" w:hAnsiTheme="minorAscii" w:eastAsiaTheme="minorEastAsia" w:cstheme="minorEastAsia"/>
          <w:sz w:val="24"/>
          <w:szCs w:val="24"/>
        </w:rPr>
        <w:t>各种细节</w:t>
      </w:r>
      <w:r>
        <w:rPr>
          <w:rFonts w:hint="default" w:asciiTheme="minorAscii" w:hAnsiTheme="minorAscii" w:eastAsiaTheme="minorEastAsia" w:cstheme="minorEastAsia"/>
          <w:sz w:val="24"/>
          <w:szCs w:val="24"/>
          <w:lang w:val="en-US" w:eastAsia="zh-CN"/>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具备越界侦测、区域入侵侦测、进入/离开区域侦测等多种智能侦测功能。针对水域，可设置航道边界越界侦测，当船只偏离正常航道时立即触发报警；对于岸线，设置重点保护区域入侵侦测，防止无关人员进入破坏生态环境或进行违规活动；通过进入/离开区域侦测，可监控游客在特定区域（如危险水域周边）的进出情况，及时发现安全隐患</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可实时预览及事后补看，视频画面上叠加电池电量等设备状态信息；</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w:t>
      </w:r>
      <w:r>
        <w:rPr>
          <w:rFonts w:hint="default" w:asciiTheme="minorAscii" w:hAnsiTheme="minorAscii" w:eastAsiaTheme="minorEastAsia" w:cstheme="minorEastAsia"/>
          <w:sz w:val="24"/>
          <w:szCs w:val="24"/>
        </w:rPr>
        <w:t>高低视频点位的有机联动，操作人员可以在全景画面中快速定位到需要重点关注的细节区域</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除手动触发外，可通过智能事件自动触发摄像头唤醒和报警。如智能周界区域入侵等事件发生时，摄像头自动从低功耗模式唤醒，抓图并将报警信息回传至平台，及时通知巡查人员</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具备高精度定位功能</w:t>
      </w:r>
      <w:r>
        <w:rPr>
          <w:rFonts w:hint="default" w:asciiTheme="minorAscii" w:hAnsiTheme="minorAscii" w:eastAsiaTheme="minorEastAsia" w:cstheme="minorEastAsia"/>
          <w:sz w:val="24"/>
          <w:szCs w:val="24"/>
          <w:lang w:eastAsia="zh-CN"/>
        </w:rPr>
        <w:t>；</w:t>
      </w:r>
    </w:p>
    <w:p>
      <w:pPr>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eastAsia="zh-CN"/>
        </w:rPr>
        <w:t>支持</w:t>
      </w:r>
      <w:r>
        <w:rPr>
          <w:rFonts w:hint="default" w:asciiTheme="minorAscii" w:hAnsiTheme="minorAscii" w:eastAsiaTheme="minorEastAsia" w:cstheme="minorEastAsia"/>
          <w:sz w:val="24"/>
          <w:szCs w:val="24"/>
        </w:rPr>
        <w:t xml:space="preserve"> 4G </w:t>
      </w:r>
      <w:r>
        <w:rPr>
          <w:rFonts w:hint="default" w:asciiTheme="minorAscii" w:hAnsiTheme="minorAscii" w:eastAsiaTheme="minorEastAsia" w:cstheme="minorEastAsia"/>
          <w:sz w:val="24"/>
          <w:szCs w:val="24"/>
          <w:lang w:val="en-US" w:eastAsia="zh-CN"/>
        </w:rPr>
        <w:t>/</w:t>
      </w:r>
      <w:r>
        <w:rPr>
          <w:rFonts w:hint="default" w:asciiTheme="minorAscii" w:hAnsiTheme="minorAscii" w:eastAsiaTheme="minorEastAsia" w:cstheme="minorEastAsia"/>
          <w:sz w:val="24"/>
          <w:szCs w:val="24"/>
        </w:rPr>
        <w:t xml:space="preserve"> 5G</w:t>
      </w:r>
      <w:r>
        <w:rPr>
          <w:rFonts w:hint="default" w:asciiTheme="minorAscii" w:hAnsiTheme="minorAscii" w:eastAsiaTheme="minorEastAsia" w:cstheme="minorEastAsia"/>
          <w:sz w:val="24"/>
          <w:szCs w:val="24"/>
          <w:lang w:val="en-US" w:eastAsia="zh-CN"/>
        </w:rPr>
        <w:t>或者有线</w:t>
      </w:r>
      <w:r>
        <w:rPr>
          <w:rFonts w:hint="default" w:asciiTheme="minorAscii" w:hAnsiTheme="minorAscii" w:eastAsiaTheme="minorEastAsia" w:cstheme="minorEastAsia"/>
          <w:sz w:val="24"/>
          <w:szCs w:val="24"/>
        </w:rPr>
        <w:t>网络传输</w:t>
      </w:r>
      <w:r>
        <w:rPr>
          <w:rFonts w:hint="default" w:asciiTheme="minorAscii" w:hAnsiTheme="minorAscii" w:eastAsiaTheme="minorEastAsia" w:cstheme="minorEastAsia"/>
          <w:sz w:val="24"/>
          <w:szCs w:val="24"/>
          <w:lang w:val="en-US" w:eastAsia="zh-CN"/>
        </w:rPr>
        <w:t>数据及视频监控功能。</w:t>
      </w:r>
    </w:p>
    <w:p>
      <w:pPr>
        <w:pStyle w:val="8"/>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能耗及通信流量</w:t>
      </w:r>
    </w:p>
    <w:p>
      <w:pPr>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视频监控摄像机5（即800万全景感知摄像机）满载功耗36W，日工作时间24h。接入路由器满载功耗24W，日工作时间24h。户外防水网络音柱功耗30W，日均工作时间2h。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606"/>
        <w:gridCol w:w="2642"/>
        <w:gridCol w:w="754"/>
        <w:gridCol w:w="767"/>
        <w:gridCol w:w="754"/>
        <w:gridCol w:w="696"/>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647"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38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2642"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521"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354"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730"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7"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38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2642"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730"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510822-06-011</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盐井溪码头监控点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510822-06-013</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青川利州交界处（乐园村）监控点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510822-06-014</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营盘大桥西岸监控点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510822-06-015</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龟神岛监控点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510822-06-016</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左坝监控点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510822-06-017</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小三峡观测台站</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510822-06-019</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湖心岛观测台站</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510822-06-022</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郭家坡监控点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510822-06-026</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老屋里监控点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510822-06-028</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永红村监控点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510822-06-029</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宝珠寺监控点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12</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510822-06-030</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龙洞峡观测台站</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13</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510822-06-031</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盐井溪观测台站</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14</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510822-06-032</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沙州212大桥观测台站</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510822-06-033</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沙州大湖观测台站</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510822-06-035</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南丰监控点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510822-06-036</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三堆沟监控点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18</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510822-06-039</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月亮湾观测台站</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19</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510822-06-041</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田家咀监控点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510822-06-042</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块家垭监控点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21</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510822-06-060</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东姜家院上游500米监控点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22</w:t>
            </w:r>
          </w:p>
        </w:tc>
        <w:tc>
          <w:tcPr>
            <w:tcW w:w="13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510822-06-062</w:t>
            </w:r>
          </w:p>
        </w:tc>
        <w:tc>
          <w:tcPr>
            <w:tcW w:w="264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rPr>
              <w:t>红光村监控点</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70</w:t>
            </w:r>
          </w:p>
        </w:tc>
        <w:tc>
          <w:tcPr>
            <w:tcW w:w="7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1020</w:t>
            </w:r>
          </w:p>
        </w:tc>
        <w:tc>
          <w:tcPr>
            <w:tcW w:w="75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3.87</w:t>
            </w:r>
          </w:p>
        </w:tc>
        <w:tc>
          <w:tcPr>
            <w:tcW w:w="60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93</w:t>
            </w:r>
          </w:p>
        </w:tc>
        <w:tc>
          <w:tcPr>
            <w:tcW w:w="730"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bl>
    <w:p>
      <w:pPr>
        <w:pStyle w:val="8"/>
        <w:keepNext/>
        <w:keepLines/>
        <w:pageBreakBefore w:val="0"/>
        <w:widowControl w:val="0"/>
        <w:kinsoku/>
        <w:wordWrap/>
        <w:overflowPunct/>
        <w:topLinePunct w:val="0"/>
        <w:autoSpaceDE/>
        <w:autoSpaceDN/>
        <w:bidi w:val="0"/>
        <w:adjustRightInd/>
        <w:snapToGrid w:val="0"/>
        <w:spacing w:before="333" w:beforeLines="100" w:after="84" w:afterLines="2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建设点位</w:t>
      </w:r>
    </w:p>
    <w:p>
      <w:pPr>
        <w:keepNext w:val="0"/>
        <w:keepLines w:val="0"/>
        <w:pageBreakBefore w:val="0"/>
        <w:widowControl w:val="0"/>
        <w:kinsoku/>
        <w:wordWrap/>
        <w:overflowPunct/>
        <w:topLinePunct w:val="0"/>
        <w:autoSpaceDE/>
        <w:autoSpaceDN/>
        <w:bidi w:val="0"/>
        <w:adjustRightInd/>
        <w:snapToGrid/>
        <w:spacing w:after="84" w:afterLines="2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本项目共计在白龙湖风景名胜区建设22套视频监控摄像机5（即800万像素全景感知视频监控设备），详细点位清单见下表：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606"/>
        <w:gridCol w:w="1470"/>
        <w:gridCol w:w="1533"/>
        <w:gridCol w:w="1419"/>
        <w:gridCol w:w="955"/>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blHeader/>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b/>
                <w:bCs/>
                <w:sz w:val="18"/>
                <w:szCs w:val="18"/>
                <w:highlight w:val="none"/>
              </w:rPr>
            </w:pPr>
            <w:r>
              <w:rPr>
                <w:rFonts w:hint="default" w:asciiTheme="minorAscii" w:hAnsiTheme="minorAscii" w:eastAsiaTheme="minorEastAsia" w:cstheme="minorEastAsia"/>
                <w:b/>
                <w:bCs/>
                <w:sz w:val="18"/>
                <w:szCs w:val="18"/>
                <w:highlight w:val="none"/>
              </w:rPr>
              <w:t>序号</w:t>
            </w:r>
          </w:p>
        </w:tc>
        <w:tc>
          <w:tcPr>
            <w:tcW w:w="1393"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b/>
                <w:bCs/>
                <w:sz w:val="18"/>
                <w:szCs w:val="18"/>
                <w:highlight w:val="none"/>
              </w:rPr>
            </w:pPr>
            <w:r>
              <w:rPr>
                <w:rFonts w:hint="default" w:asciiTheme="minorAscii" w:hAnsiTheme="minorAscii" w:eastAsiaTheme="minorEastAsia" w:cstheme="minorEastAsia"/>
                <w:b/>
                <w:bCs/>
                <w:sz w:val="18"/>
                <w:szCs w:val="18"/>
                <w:highlight w:val="none"/>
              </w:rPr>
              <w:t>编号</w:t>
            </w:r>
          </w:p>
        </w:tc>
        <w:tc>
          <w:tcPr>
            <w:tcW w:w="1470"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b/>
                <w:bCs/>
                <w:sz w:val="18"/>
                <w:szCs w:val="18"/>
                <w:highlight w:val="none"/>
              </w:rPr>
            </w:pPr>
            <w:r>
              <w:rPr>
                <w:rFonts w:hint="default" w:asciiTheme="minorAscii" w:hAnsiTheme="minorAscii" w:eastAsiaTheme="minorEastAsia" w:cstheme="minorEastAsia"/>
                <w:b/>
                <w:bCs/>
                <w:sz w:val="18"/>
                <w:szCs w:val="18"/>
                <w:highlight w:val="none"/>
              </w:rPr>
              <w:t>监测站点名称</w:t>
            </w:r>
          </w:p>
        </w:tc>
        <w:tc>
          <w:tcPr>
            <w:tcW w:w="1488"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b/>
                <w:bCs/>
                <w:sz w:val="18"/>
                <w:szCs w:val="18"/>
                <w:highlight w:val="none"/>
              </w:rPr>
            </w:pPr>
            <w:r>
              <w:rPr>
                <w:rFonts w:hint="default" w:asciiTheme="minorAscii" w:hAnsiTheme="minorAscii" w:eastAsiaTheme="minorEastAsia" w:cstheme="minorEastAsia"/>
                <w:b/>
                <w:bCs/>
                <w:sz w:val="18"/>
                <w:szCs w:val="18"/>
                <w:highlight w:val="none"/>
              </w:rPr>
              <w:t>经度</w:t>
            </w:r>
          </w:p>
        </w:tc>
        <w:tc>
          <w:tcPr>
            <w:tcW w:w="1377"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b/>
                <w:bCs/>
                <w:sz w:val="18"/>
                <w:szCs w:val="18"/>
                <w:highlight w:val="none"/>
              </w:rPr>
            </w:pPr>
            <w:r>
              <w:rPr>
                <w:rFonts w:hint="default" w:asciiTheme="minorAscii" w:hAnsiTheme="minorAscii" w:eastAsiaTheme="minorEastAsia" w:cstheme="minorEastAsia"/>
                <w:b/>
                <w:bCs/>
                <w:sz w:val="18"/>
                <w:szCs w:val="18"/>
                <w:highlight w:val="none"/>
              </w:rPr>
              <w:t>纬度</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b/>
                <w:bCs/>
                <w:sz w:val="18"/>
                <w:szCs w:val="18"/>
                <w:highlight w:val="none"/>
              </w:rPr>
            </w:pPr>
            <w:r>
              <w:rPr>
                <w:rFonts w:hint="default" w:asciiTheme="minorAscii" w:hAnsiTheme="minorAscii" w:eastAsiaTheme="minorEastAsia" w:cstheme="minorEastAsia"/>
                <w:b/>
                <w:bCs/>
                <w:sz w:val="18"/>
                <w:szCs w:val="18"/>
                <w:highlight w:val="none"/>
              </w:rPr>
              <w:t>监测分类（大类）</w:t>
            </w:r>
          </w:p>
        </w:tc>
        <w:tc>
          <w:tcPr>
            <w:tcW w:w="971"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b/>
                <w:bCs/>
                <w:sz w:val="18"/>
                <w:szCs w:val="18"/>
                <w:highlight w:val="none"/>
              </w:rPr>
            </w:pPr>
            <w:r>
              <w:rPr>
                <w:rFonts w:hint="default" w:asciiTheme="minorAscii" w:hAnsiTheme="minorAscii" w:eastAsiaTheme="minorEastAsia" w:cstheme="minorEastAsia"/>
                <w:b/>
                <w:bCs/>
                <w:sz w:val="18"/>
                <w:szCs w:val="18"/>
                <w:highlight w:val="none"/>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510822-06-011</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盐井溪码头监控点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105.60179009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32.51632435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2</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510822-06-013</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青川利州交界处（乐园村）监控点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105.54906503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32.62282322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3</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510822-06-014</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营盘大桥西岸监控点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105.49824652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32.67447893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4</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510822-06-015</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龟神岛监控点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105.56934055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32.54171822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5</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510822-06-016</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左坝监控点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105.53434121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32.65008608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6</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510822-06-017</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小三峡观测台站</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105.54814963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32.57451749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7</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510822-06-019</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湖心岛观测台站</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105.57700711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32.54350304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8</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510822-06-022</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郭家坡监控点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105.50329936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32.72188450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9</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510822-06-026</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老屋里监控点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105.46457126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32.74481913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10</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510822-06-028</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永红村监控点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105.56542791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32.71585836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11</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510822-06-029</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宝珠寺监控点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105.61218082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32.51433679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12</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510822-06-030</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龙洞峡观测台站</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105.55261816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32.55029687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13</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510822-06-031</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盐井溪观测台站</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105.60380769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32.51770270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14</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510822-06-032</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沙州212大桥观测台站</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105.48500138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32.66866402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15</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510822-06-033</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沙州大湖观测台站</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105.48716211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32.67459476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16</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510822-06-035</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南丰监控点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105.46361662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32.65854994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17</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510822-06-036</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三堆沟监控点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105.46048827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32.68347671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18</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510822-06-039</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月亮湾观测台站</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105.59288338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32.56562809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19</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510822-06-041</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田家咀监控点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105.51158086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32.73234334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20</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510822-06-042</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块家垭监控点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105.52105944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32.71500452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21</w:t>
            </w:r>
          </w:p>
        </w:tc>
        <w:tc>
          <w:tcPr>
            <w:tcW w:w="1393"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510822-06-060</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东姜家院上游500米监控点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105.45096697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32.62320848 </w:t>
            </w:r>
          </w:p>
        </w:tc>
        <w:tc>
          <w:tcPr>
            <w:tcW w:w="955" w:type="dxa"/>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22" w:type="dxa"/>
            <w:tcBorders>
              <w:bottom w:val="single" w:color="auto" w:sz="4" w:space="0"/>
            </w:tcBorders>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lang w:val="en-US" w:eastAsia="zh-CN"/>
              </w:rPr>
            </w:pPr>
            <w:r>
              <w:rPr>
                <w:rFonts w:hint="default" w:asciiTheme="minorAscii" w:hAnsiTheme="minorAscii" w:eastAsiaTheme="minorEastAsia" w:cstheme="minorEastAsia"/>
                <w:sz w:val="18"/>
                <w:szCs w:val="18"/>
                <w:highlight w:val="none"/>
                <w:lang w:val="en-US" w:eastAsia="zh-CN"/>
              </w:rPr>
              <w:t>22</w:t>
            </w:r>
          </w:p>
        </w:tc>
        <w:tc>
          <w:tcPr>
            <w:tcW w:w="139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510822-06-062</w:t>
            </w:r>
          </w:p>
        </w:tc>
        <w:tc>
          <w:tcPr>
            <w:tcW w:w="1470"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红光村监控点</w:t>
            </w:r>
          </w:p>
        </w:tc>
        <w:tc>
          <w:tcPr>
            <w:tcW w:w="148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105.45168652 </w:t>
            </w:r>
          </w:p>
        </w:tc>
        <w:tc>
          <w:tcPr>
            <w:tcW w:w="1377"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rPr>
              <w:t xml:space="preserve">32.60905737 </w:t>
            </w:r>
          </w:p>
        </w:tc>
        <w:tc>
          <w:tcPr>
            <w:tcW w:w="955" w:type="dxa"/>
            <w:tcBorders>
              <w:bottom w:val="single" w:color="auto" w:sz="4" w:space="0"/>
            </w:tcBorders>
            <w:vAlign w:val="center"/>
          </w:tcPr>
          <w:p>
            <w:pPr>
              <w:adjustRightInd w:val="0"/>
              <w:snapToGrid/>
              <w:spacing w:line="24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水域及岸线巡查</w:t>
            </w:r>
          </w:p>
        </w:tc>
        <w:tc>
          <w:tcPr>
            <w:tcW w:w="971" w:type="dxa"/>
            <w:tcBorders>
              <w:bottom w:val="single" w:color="auto" w:sz="4" w:space="0"/>
            </w:tcBorders>
            <w:vAlign w:val="center"/>
          </w:tcPr>
          <w:p>
            <w:pPr>
              <w:adjustRightInd w:val="0"/>
              <w:snapToGrid/>
              <w:spacing w:line="300" w:lineRule="exact"/>
              <w:ind w:firstLine="0" w:firstLineChars="0"/>
              <w:jc w:val="center"/>
              <w:rPr>
                <w:rFonts w:hint="default" w:asciiTheme="minorAscii" w:hAnsiTheme="minorAscii" w:eastAsiaTheme="minorEastAsia" w:cstheme="minorEastAsia"/>
                <w:sz w:val="18"/>
                <w:szCs w:val="18"/>
                <w:highlight w:val="none"/>
              </w:rPr>
            </w:pPr>
            <w:r>
              <w:rPr>
                <w:rFonts w:hint="default" w:asciiTheme="minorAscii" w:hAnsiTheme="minorAscii" w:eastAsiaTheme="minorEastAsia" w:cstheme="minorEastAsia"/>
                <w:sz w:val="18"/>
                <w:szCs w:val="18"/>
                <w:highlight w:val="none"/>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trPr>
        <w:tc>
          <w:tcPr>
            <w:tcW w:w="8276" w:type="dxa"/>
            <w:gridSpan w:val="7"/>
            <w:tcBorders>
              <w:top w:val="single" w:color="auto" w:sz="4" w:space="0"/>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1" w:firstLineChars="200"/>
              <w:jc w:val="both"/>
              <w:textAlignment w:val="auto"/>
              <w:rPr>
                <w:rFonts w:hint="default" w:asciiTheme="minorAscii" w:hAnsiTheme="minorAscii" w:eastAsiaTheme="minorEastAsia" w:cstheme="minorEastAsia"/>
                <w:sz w:val="24"/>
                <w:szCs w:val="24"/>
                <w:highlight w:val="none"/>
                <w:lang w:val="en-US" w:eastAsia="zh-CN"/>
              </w:rPr>
            </w:pPr>
            <w:r>
              <w:rPr>
                <w:rFonts w:hint="default" w:asciiTheme="minorAscii" w:hAnsiTheme="minorAscii" w:eastAsiaTheme="minorEastAsia" w:cstheme="minorEastAsia"/>
                <w:b/>
                <w:bCs/>
                <w:sz w:val="24"/>
                <w:szCs w:val="24"/>
                <w:highlight w:val="none"/>
                <w:lang w:val="en-US" w:eastAsia="zh-CN"/>
              </w:rPr>
              <w:t>其他说明：</w:t>
            </w:r>
            <w:r>
              <w:rPr>
                <w:rFonts w:hint="default" w:asciiTheme="minorAscii" w:hAnsiTheme="minorAscii" w:eastAsiaTheme="minorEastAsia" w:cstheme="minorEastAsia"/>
                <w:sz w:val="24"/>
                <w:szCs w:val="24"/>
                <w:highlight w:val="none"/>
                <w:lang w:val="en-US" w:eastAsia="zh-CN"/>
              </w:rPr>
              <w:t>包括广元市局已有的2个监控点位在内，凡能利旧的视频监控设施全部充分利旧。凡能整合（共享）的视频监控社会资源，尽量接入本项目风险源监测与环境应急平台。</w:t>
            </w:r>
          </w:p>
        </w:tc>
      </w:tr>
    </w:tbl>
    <w:p>
      <w:pPr>
        <w:pStyle w:val="8"/>
        <w:keepNext/>
        <w:keepLines/>
        <w:pageBreakBefore w:val="0"/>
        <w:widowControl w:val="0"/>
        <w:kinsoku/>
        <w:wordWrap/>
        <w:overflowPunct/>
        <w:topLinePunct w:val="0"/>
        <w:autoSpaceDE/>
        <w:autoSpaceDN/>
        <w:bidi w:val="0"/>
        <w:adjustRightInd/>
        <w:snapToGrid w:val="0"/>
        <w:spacing w:before="250" w:beforeLines="7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配置清单</w:t>
      </w:r>
    </w:p>
    <w:tbl>
      <w:tblPr>
        <w:tblStyle w:val="19"/>
        <w:tblW w:w="9341"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3274"/>
        <w:gridCol w:w="800"/>
        <w:gridCol w:w="739"/>
        <w:gridCol w:w="3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blHeader/>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327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327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视频监控摄像机5（即800万全景感知摄像机）</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22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35处点位采用离网风力和太阳能光伏发电系统供电；盐井溪观测台站、沙州大湖观测台站2处引用市电。详细设计见相关图纸，详细描述见分部分项工程量清单。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闪存卡</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22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张</w:t>
            </w:r>
          </w:p>
        </w:tc>
        <w:tc>
          <w:tcPr>
            <w:tcW w:w="38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应急存储，保存时长2.5天以上。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lang w:val="en-US" w:eastAsia="zh-CN"/>
              </w:rPr>
              <w:t>接入路由器</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22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rPr>
              <w:t>户外防水网络音柱（</w:t>
            </w:r>
            <w:r>
              <w:rPr>
                <w:rFonts w:hint="default" w:asciiTheme="minorAscii" w:hAnsiTheme="minorAscii" w:eastAsiaTheme="minorEastAsia" w:cstheme="minorEastAsia"/>
                <w:sz w:val="18"/>
                <w:szCs w:val="18"/>
                <w:lang w:val="en-US" w:eastAsia="zh-CN"/>
              </w:rPr>
              <w:t>3</w:t>
            </w:r>
            <w:r>
              <w:rPr>
                <w:rFonts w:hint="default" w:asciiTheme="minorAscii" w:hAnsiTheme="minorAscii" w:eastAsiaTheme="minorEastAsia" w:cstheme="minorEastAsia"/>
                <w:sz w:val="18"/>
                <w:szCs w:val="18"/>
              </w:rPr>
              <w:t>0W）</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5</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一体化风光储能柱（8.5m）</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L型八菱杆（6m）</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根</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7</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横臂（1.5m）</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20</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根</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8</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横臂（1m）</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根</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9</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柱（杆）挂设备箱</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地笼</w:t>
            </w:r>
          </w:p>
        </w:tc>
        <w:tc>
          <w:tcPr>
            <w:tcW w:w="80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22</w:t>
            </w:r>
          </w:p>
        </w:tc>
        <w:tc>
          <w:tcPr>
            <w:tcW w:w="73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副</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混凝土基础</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墩</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12</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防雷接地装置</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13</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手孔井</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22</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详细设计见相关图纸，详细描述见分部分项工程量清单。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14</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设备侧电源线（3*1.5）</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550</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六类网线</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330</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m</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w:t>
            </w:r>
          </w:p>
        </w:tc>
        <w:tc>
          <w:tcPr>
            <w:tcW w:w="32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辅材3</w:t>
            </w:r>
          </w:p>
        </w:tc>
        <w:tc>
          <w:tcPr>
            <w:tcW w:w="800"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73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项</w:t>
            </w:r>
          </w:p>
        </w:tc>
        <w:tc>
          <w:tcPr>
            <w:tcW w:w="38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bl>
    <w:p>
      <w:pPr>
        <w:pStyle w:val="5"/>
        <w:keepNext/>
        <w:keepLines/>
        <w:pageBreakBefore w:val="0"/>
        <w:widowControl w:val="0"/>
        <w:kinsoku/>
        <w:wordWrap/>
        <w:overflowPunct/>
        <w:topLinePunct w:val="0"/>
        <w:autoSpaceDE/>
        <w:autoSpaceDN/>
        <w:bidi w:val="0"/>
        <w:adjustRightInd/>
        <w:snapToGrid w:val="0"/>
        <w:spacing w:before="499" w:beforeLines="150"/>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无人机巡航基础能力建设</w:t>
      </w:r>
    </w:p>
    <w:p>
      <w:pPr>
        <w:pStyle w:val="7"/>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无人机巡航基础能力的建设，可有效形成对白龙湖风景名胜区广袤水域整体的可视化监测。通过无人机巡航传感器联动智能识别，对白龙湖水域内垂钓、游泳、捕捞等一系列违法内容进行密集巡查，形成对水域的高频监管，相应缓解因白龙湖风景名胜区水域广袤而带来的人力缺乏等问题。本项目设计引入全自动无人机智能巡航系统，由无人机自己上下班，在有效弥补巡湖人力不足的同时，借助无人机领域前沿技术构建“天空-地面-湖里-水下-网上”立体全方位“三水一体”协同管控体系。</w:t>
      </w:r>
    </w:p>
    <w:p>
      <w:pPr>
        <w:pStyle w:val="7"/>
        <w:keepNext w:val="0"/>
        <w:keepLines w:val="0"/>
        <w:pageBreakBefore w:val="0"/>
        <w:widowControl w:val="0"/>
        <w:kinsoku/>
        <w:wordWrap/>
        <w:overflowPunct/>
        <w:topLinePunct w:val="0"/>
        <w:autoSpaceDE/>
        <w:autoSpaceDN/>
        <w:bidi w:val="0"/>
        <w:adjustRightInd w:val="0"/>
        <w:snapToGrid/>
        <w:spacing w:before="0" w:beforeLines="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点位选择原则</w:t>
      </w:r>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站点选址需确保无人机航程可覆盖白龙湖全部核心水域（包括主湖区、支流、半岛及浅滩区），避免因航程不足导致监测盲区；</w:t>
      </w:r>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在游客密集区（如码头、景区步道沿线）、违法高发区（如隐蔽垂钓点、非法捕捞易发段）及地质灾害风险区（如滑坡体、塌岸段）设置重点覆盖区，通过多站点协同实现高频次巡航；</w:t>
      </w:r>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站点应靠近灾害易发区（如强降雨引发的山洪入口等），确保无人机能快速抵达救援现场，为物资投送、人员搜救提供实时支持；</w:t>
      </w:r>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选址需临近公路、码头或直升机停机坪，便于地面救援队伍与无人机协同运输物资（如救生设备、医疗包）；</w:t>
      </w:r>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选址需符合《风景名胜区条例》，避开核心保护区、鸟类栖息地或水源地一级保护区，减少对生态的干扰；</w:t>
      </w:r>
    </w:p>
    <w:p>
      <w:pPr>
        <w:keepNext w:val="0"/>
        <w:keepLines w:val="0"/>
        <w:pageBreakBefore w:val="0"/>
        <w:widowControl w:val="0"/>
        <w:numPr>
          <w:ilvl w:val="0"/>
          <w:numId w:val="23"/>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应选取运营商4G/5G信号已覆盖、电力供应有保障、交通方便的区域。</w:t>
      </w:r>
    </w:p>
    <w:p>
      <w:pPr>
        <w:pStyle w:val="7"/>
        <w:keepNext w:val="0"/>
        <w:keepLines w:val="0"/>
        <w:pageBreakBefore w:val="0"/>
        <w:widowControl w:val="0"/>
        <w:kinsoku/>
        <w:wordWrap/>
        <w:overflowPunct/>
        <w:topLinePunct w:val="0"/>
        <w:autoSpaceDE/>
        <w:autoSpaceDN/>
        <w:bidi w:val="0"/>
        <w:adjustRightInd w:val="0"/>
        <w:snapToGrid/>
        <w:spacing w:before="0" w:beforeLines="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系统构成</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全自动无人机智能巡航系统由</w:t>
      </w:r>
      <w:r>
        <w:rPr>
          <w:rFonts w:hint="default" w:asciiTheme="minorAscii" w:hAnsiTheme="minorAscii" w:eastAsiaTheme="minorEastAsia" w:cstheme="minorEastAsia"/>
          <w:kern w:val="2"/>
          <w:sz w:val="24"/>
          <w:szCs w:val="24"/>
          <w:vertAlign w:val="baseline"/>
          <w:lang w:val="en-US" w:eastAsia="zh-CN" w:bidi="ar-SA"/>
        </w:rPr>
        <w:t>红外巡查</w:t>
      </w:r>
      <w:r>
        <w:rPr>
          <w:rFonts w:hint="default" w:asciiTheme="minorAscii" w:hAnsiTheme="minorAscii" w:eastAsiaTheme="minorEastAsia" w:cstheme="minorEastAsia"/>
          <w:sz w:val="24"/>
          <w:szCs w:val="24"/>
          <w:lang w:val="en-US" w:eastAsia="zh-CN"/>
        </w:rPr>
        <w:t>无人机、无人机全自动机场、无人机无人值守平台（一体机）、重载无人机、无人机中继站等组成。红外巡查无人机实现对覆盖区域全天候的监测；重载无人机实现对覆盖区域的违法建设取证、应急物资投放等；无人机全自动机场为无人机提供自动起降、充电/换电、环境防护（防雨、防尘、温控）等；无人机无人值守平台（一体机）实现任务规划、AI算法部署、数据存储、远程指挥等；无人机中继站扩展通信范围，使无人机巡航、救援覆盖区域最大化。</w:t>
      </w:r>
    </w:p>
    <w:p>
      <w:pPr>
        <w:tabs>
          <w:tab w:val="center" w:pos="4140"/>
          <w:tab w:val="left" w:pos="4752"/>
        </w:tabs>
        <w:ind w:left="0" w:leftChars="0" w:firstLine="0" w:firstLineChars="0"/>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eastAsia="zh-CN"/>
        </w:rPr>
        <w:tab/>
      </w:r>
      <w:r>
        <w:rPr>
          <w:rFonts w:hint="default" w:asciiTheme="minorAscii" w:hAnsiTheme="minorAscii" w:eastAsiaTheme="minorEastAsia" w:cstheme="minorEastAsia"/>
          <w:sz w:val="24"/>
          <w:szCs w:val="24"/>
        </w:rPr>
        <w:drawing>
          <wp:inline distT="0" distB="0" distL="114300" distR="114300">
            <wp:extent cx="2662555" cy="5711825"/>
            <wp:effectExtent l="0" t="0" r="4445" b="3175"/>
            <wp:docPr id="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pic:cNvPicPr>
                      <a:picLocks noChangeAspect="1"/>
                    </pic:cNvPicPr>
                  </pic:nvPicPr>
                  <pic:blipFill>
                    <a:blip r:embed="rId21"/>
                    <a:stretch>
                      <a:fillRect/>
                    </a:stretch>
                  </pic:blipFill>
                  <pic:spPr>
                    <a:xfrm>
                      <a:off x="0" y="0"/>
                      <a:ext cx="2662555" cy="5711825"/>
                    </a:xfrm>
                    <a:prstGeom prst="rect">
                      <a:avLst/>
                    </a:prstGeom>
                    <a:noFill/>
                    <a:ln>
                      <a:noFill/>
                    </a:ln>
                  </pic:spPr>
                </pic:pic>
              </a:graphicData>
            </a:graphic>
          </wp:inline>
        </w:drawing>
      </w:r>
      <w:r>
        <w:rPr>
          <w:rFonts w:hint="default" w:asciiTheme="minorAscii" w:hAnsiTheme="minorAscii" w:eastAsiaTheme="minorEastAsia" w:cstheme="minorEastAsia"/>
          <w:sz w:val="24"/>
          <w:szCs w:val="24"/>
          <w:lang w:eastAsia="zh-CN"/>
        </w:rPr>
        <w:tab/>
      </w:r>
    </w:p>
    <w:p>
      <w:pPr>
        <w:keepNext w:val="0"/>
        <w:keepLines w:val="0"/>
        <w:pageBreakBefore w:val="0"/>
        <w:widowControl w:val="0"/>
        <w:kinsoku/>
        <w:wordWrap/>
        <w:overflowPunct/>
        <w:topLinePunct w:val="0"/>
        <w:autoSpaceDE/>
        <w:autoSpaceDN/>
        <w:bidi w:val="0"/>
        <w:adjustRightInd/>
        <w:snapToGrid w:val="0"/>
        <w:spacing w:before="167" w:beforeLines="5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图19 无人机机场钢塔部署图</w:t>
      </w:r>
    </w:p>
    <w:p>
      <w:pPr>
        <w:pStyle w:val="7"/>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无人机巡航</w:t>
      </w:r>
      <w:r>
        <w:rPr>
          <w:rFonts w:hint="default" w:asciiTheme="minorAscii" w:hAnsiTheme="minorAscii" w:eastAsiaTheme="minorEastAsia" w:cstheme="minorEastAsia"/>
          <w:sz w:val="24"/>
          <w:szCs w:val="24"/>
        </w:rPr>
        <w:t>全自动运行，可对</w:t>
      </w:r>
      <w:r>
        <w:rPr>
          <w:rFonts w:hint="default" w:asciiTheme="minorAscii" w:hAnsiTheme="minorAscii" w:eastAsiaTheme="minorEastAsia" w:cstheme="minorEastAsia"/>
          <w:sz w:val="24"/>
          <w:szCs w:val="24"/>
          <w:lang w:val="en-US" w:eastAsia="zh-CN"/>
        </w:rPr>
        <w:t>覆盖区域违法、违规、违建等行为</w:t>
      </w:r>
      <w:r>
        <w:rPr>
          <w:rFonts w:hint="default" w:asciiTheme="minorAscii" w:hAnsiTheme="minorAscii" w:eastAsiaTheme="minorEastAsia" w:cstheme="minorEastAsia"/>
          <w:sz w:val="24"/>
          <w:szCs w:val="24"/>
        </w:rPr>
        <w:t>进行实时监测，</w:t>
      </w:r>
      <w:r>
        <w:rPr>
          <w:rFonts w:hint="default" w:asciiTheme="minorAscii" w:hAnsiTheme="minorAscii" w:eastAsiaTheme="minorEastAsia" w:cstheme="minorEastAsia"/>
          <w:sz w:val="24"/>
          <w:szCs w:val="24"/>
          <w:lang w:val="en-US" w:eastAsia="zh-CN"/>
        </w:rPr>
        <w:t>并实现相应的应急救援任务，同时</w:t>
      </w:r>
      <w:r>
        <w:rPr>
          <w:rFonts w:hint="default" w:asciiTheme="minorAscii" w:hAnsiTheme="minorAscii" w:eastAsiaTheme="minorEastAsia" w:cstheme="minorEastAsia"/>
          <w:sz w:val="24"/>
          <w:szCs w:val="24"/>
        </w:rPr>
        <w:t>通过专用的通讯系统，将监测数据</w:t>
      </w:r>
      <w:r>
        <w:rPr>
          <w:rFonts w:hint="default" w:asciiTheme="minorAscii" w:hAnsiTheme="minorAscii" w:eastAsiaTheme="minorEastAsia" w:cstheme="minorEastAsia"/>
          <w:sz w:val="24"/>
          <w:szCs w:val="24"/>
          <w:lang w:val="en-US" w:eastAsia="zh-CN"/>
        </w:rPr>
        <w:t>回</w:t>
      </w:r>
      <w:r>
        <w:rPr>
          <w:rFonts w:hint="default" w:asciiTheme="minorAscii" w:hAnsiTheme="minorAscii" w:eastAsiaTheme="minorEastAsia" w:cstheme="minorEastAsia"/>
          <w:sz w:val="24"/>
          <w:szCs w:val="24"/>
        </w:rPr>
        <w:t>传至</w:t>
      </w:r>
      <w:r>
        <w:rPr>
          <w:rFonts w:hint="default" w:asciiTheme="minorAscii" w:hAnsiTheme="minorAscii" w:eastAsiaTheme="minorEastAsia" w:cstheme="minorEastAsia"/>
          <w:sz w:val="24"/>
          <w:szCs w:val="24"/>
          <w:lang w:val="en-US" w:eastAsia="zh-CN"/>
        </w:rPr>
        <w:t>平台</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z w:val="24"/>
          <w:szCs w:val="24"/>
          <w:lang w:val="en-US" w:eastAsia="zh-CN"/>
        </w:rPr>
        <w:t>配合其余建设内容形成对白龙湖风景名胜区</w:t>
      </w:r>
      <w:r>
        <w:rPr>
          <w:rFonts w:hint="default" w:asciiTheme="minorAscii" w:hAnsiTheme="minorAscii" w:eastAsiaTheme="minorEastAsia" w:cstheme="minorEastAsia"/>
          <w:sz w:val="24"/>
          <w:szCs w:val="24"/>
        </w:rPr>
        <w:t>“空-地-湖”立体监测体系。</w:t>
      </w:r>
      <w:r>
        <w:rPr>
          <w:rFonts w:hint="default" w:asciiTheme="minorAscii" w:hAnsiTheme="minorAscii" w:eastAsiaTheme="minorEastAsia" w:cstheme="minorEastAsia"/>
          <w:sz w:val="24"/>
          <w:szCs w:val="24"/>
          <w:lang w:val="en-US" w:eastAsia="zh-CN"/>
        </w:rPr>
        <w:t>具体功能如下：</w:t>
      </w:r>
    </w:p>
    <w:p>
      <w:pPr>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可实现对非法游泳、禁钓区域非法行为、禁航水域船只航行、违法建筑等的智能识别、预警；</w:t>
      </w:r>
    </w:p>
    <w:p>
      <w:pPr>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可实现漂浮物、水体颜色等的智能识别；</w:t>
      </w:r>
    </w:p>
    <w:p>
      <w:pPr>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可实现夜间/低光照环境监测，热成像识别人员、动物及异常热源；</w:t>
      </w:r>
    </w:p>
    <w:p>
      <w:pPr>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可对违法行为实现全自动录音喊话、实时喊话功能；</w:t>
      </w:r>
    </w:p>
    <w:p>
      <w:pPr>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可实现任务规划、AI算法部署、数据存储、远程指挥、无人机实时操作、无人机远程操作等功能；</w:t>
      </w:r>
    </w:p>
    <w:p>
      <w:pPr>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可实现对无人机状态的实时监测；</w:t>
      </w:r>
    </w:p>
    <w:p>
      <w:pPr>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重载无人机可实现在复杂环境下的自主飞行，搭载重量不低于80KG，实现应急救援。</w:t>
      </w:r>
    </w:p>
    <w:p>
      <w:pPr>
        <w:pStyle w:val="7"/>
        <w:keepNext/>
        <w:keepLines/>
        <w:pageBreakBefore w:val="0"/>
        <w:widowControl w:val="0"/>
        <w:kinsoku/>
        <w:wordWrap/>
        <w:overflowPunct/>
        <w:topLinePunct w:val="0"/>
        <w:autoSpaceDE/>
        <w:autoSpaceDN/>
        <w:bidi w:val="0"/>
        <w:adjustRightInd w:val="0"/>
        <w:snapToGrid w:val="0"/>
        <w:spacing w:before="167" w:beforeLines="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能耗及通信流量</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无人机基站满载功耗800W，日工作时间4h；重载机动无人机应急基站满载功耗350W，日均工作时间1h。</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606"/>
        <w:gridCol w:w="2374"/>
        <w:gridCol w:w="632"/>
        <w:gridCol w:w="675"/>
        <w:gridCol w:w="752"/>
        <w:gridCol w:w="732"/>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44"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511"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2374"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301"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理论能耗</w:t>
            </w:r>
          </w:p>
        </w:tc>
        <w:tc>
          <w:tcPr>
            <w:tcW w:w="1418"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通信流量</w:t>
            </w:r>
          </w:p>
        </w:tc>
        <w:tc>
          <w:tcPr>
            <w:tcW w:w="1032"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44"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1511"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2374"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c>
          <w:tcPr>
            <w:tcW w:w="6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W/h</w:t>
            </w:r>
          </w:p>
        </w:tc>
        <w:tc>
          <w:tcPr>
            <w:tcW w:w="6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W/d</w:t>
            </w:r>
          </w:p>
        </w:tc>
        <w:tc>
          <w:tcPr>
            <w:tcW w:w="75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GB/h</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GB/d</w:t>
            </w:r>
          </w:p>
        </w:tc>
        <w:tc>
          <w:tcPr>
            <w:tcW w:w="1032"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510822-05-001</w:t>
            </w:r>
          </w:p>
        </w:tc>
        <w:tc>
          <w:tcPr>
            <w:tcW w:w="237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飞凤村无人机基站</w:t>
            </w:r>
          </w:p>
        </w:tc>
        <w:tc>
          <w:tcPr>
            <w:tcW w:w="6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800</w:t>
            </w:r>
          </w:p>
        </w:tc>
        <w:tc>
          <w:tcPr>
            <w:tcW w:w="6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3200</w:t>
            </w:r>
          </w:p>
        </w:tc>
        <w:tc>
          <w:tcPr>
            <w:tcW w:w="75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15.5</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371.2</w:t>
            </w:r>
          </w:p>
        </w:tc>
        <w:tc>
          <w:tcPr>
            <w:tcW w:w="10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510822-05-003</w:t>
            </w:r>
          </w:p>
        </w:tc>
        <w:tc>
          <w:tcPr>
            <w:tcW w:w="237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幸福岛无人机基站</w:t>
            </w:r>
          </w:p>
        </w:tc>
        <w:tc>
          <w:tcPr>
            <w:tcW w:w="6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800</w:t>
            </w:r>
          </w:p>
        </w:tc>
        <w:tc>
          <w:tcPr>
            <w:tcW w:w="6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3200</w:t>
            </w:r>
          </w:p>
        </w:tc>
        <w:tc>
          <w:tcPr>
            <w:tcW w:w="75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15.5</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371.2</w:t>
            </w:r>
          </w:p>
        </w:tc>
        <w:tc>
          <w:tcPr>
            <w:tcW w:w="10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510822-05-</w:t>
            </w:r>
            <w:r>
              <w:rPr>
                <w:rFonts w:hint="default" w:asciiTheme="minorAscii" w:hAnsiTheme="minorAscii" w:eastAsiaTheme="minorEastAsia" w:cstheme="minorEastAsia"/>
                <w:sz w:val="18"/>
                <w:szCs w:val="18"/>
                <w:highlight w:val="none"/>
                <w:vertAlign w:val="baseline"/>
                <w:lang w:val="en-US" w:eastAsia="zh-CN"/>
              </w:rPr>
              <w:t>004</w:t>
            </w:r>
          </w:p>
        </w:tc>
        <w:tc>
          <w:tcPr>
            <w:tcW w:w="237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沙洲镇无人机基站</w:t>
            </w:r>
          </w:p>
        </w:tc>
        <w:tc>
          <w:tcPr>
            <w:tcW w:w="6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800</w:t>
            </w:r>
          </w:p>
        </w:tc>
        <w:tc>
          <w:tcPr>
            <w:tcW w:w="6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3200</w:t>
            </w:r>
          </w:p>
        </w:tc>
        <w:tc>
          <w:tcPr>
            <w:tcW w:w="75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15.5</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371.2</w:t>
            </w:r>
          </w:p>
        </w:tc>
        <w:tc>
          <w:tcPr>
            <w:tcW w:w="10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64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5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510822-05-002</w:t>
            </w:r>
          </w:p>
        </w:tc>
        <w:tc>
          <w:tcPr>
            <w:tcW w:w="237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金洞乡无人机基站</w:t>
            </w:r>
          </w:p>
        </w:tc>
        <w:tc>
          <w:tcPr>
            <w:tcW w:w="6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350</w:t>
            </w:r>
          </w:p>
        </w:tc>
        <w:tc>
          <w:tcPr>
            <w:tcW w:w="669"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350</w:t>
            </w:r>
          </w:p>
        </w:tc>
        <w:tc>
          <w:tcPr>
            <w:tcW w:w="75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15.5</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371.2</w:t>
            </w:r>
          </w:p>
        </w:tc>
        <w:tc>
          <w:tcPr>
            <w:tcW w:w="1032"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兼应急协同</w:t>
            </w:r>
          </w:p>
        </w:tc>
      </w:tr>
    </w:tbl>
    <w:p>
      <w:pPr>
        <w:pStyle w:val="7"/>
        <w:keepNext/>
        <w:keepLines/>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建设点位</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本项目共计在白龙湖风景名胜区建设4套无人机基站，详细点位清单见下表：</w:t>
      </w:r>
    </w:p>
    <w:tbl>
      <w:tblPr>
        <w:tblStyle w:val="1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436"/>
        <w:gridCol w:w="1667"/>
        <w:gridCol w:w="1368"/>
        <w:gridCol w:w="1281"/>
        <w:gridCol w:w="996"/>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49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14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编号</w:t>
            </w:r>
          </w:p>
        </w:tc>
        <w:tc>
          <w:tcPr>
            <w:tcW w:w="1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监测站点名称</w:t>
            </w:r>
          </w:p>
        </w:tc>
        <w:tc>
          <w:tcPr>
            <w:tcW w:w="13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经度</w:t>
            </w:r>
          </w:p>
        </w:tc>
        <w:tc>
          <w:tcPr>
            <w:tcW w:w="128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纬度</w:t>
            </w:r>
          </w:p>
        </w:tc>
        <w:tc>
          <w:tcPr>
            <w:tcW w:w="9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监测分类（大类）</w:t>
            </w:r>
          </w:p>
        </w:tc>
        <w:tc>
          <w:tcPr>
            <w:tcW w:w="101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监测口分类（小类）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9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14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510822-05-001</w:t>
            </w:r>
          </w:p>
        </w:tc>
        <w:tc>
          <w:tcPr>
            <w:tcW w:w="1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飞凤村无人机基站</w:t>
            </w:r>
          </w:p>
        </w:tc>
        <w:tc>
          <w:tcPr>
            <w:tcW w:w="13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105.59816029</w:t>
            </w:r>
          </w:p>
        </w:tc>
        <w:tc>
          <w:tcPr>
            <w:tcW w:w="128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32.51864018</w:t>
            </w:r>
          </w:p>
        </w:tc>
        <w:tc>
          <w:tcPr>
            <w:tcW w:w="99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水域巡查</w:t>
            </w:r>
          </w:p>
        </w:tc>
        <w:tc>
          <w:tcPr>
            <w:tcW w:w="10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9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14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510822-05-003</w:t>
            </w:r>
          </w:p>
        </w:tc>
        <w:tc>
          <w:tcPr>
            <w:tcW w:w="1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幸福岛无人机基站</w:t>
            </w:r>
          </w:p>
        </w:tc>
        <w:tc>
          <w:tcPr>
            <w:tcW w:w="13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105.43896353</w:t>
            </w:r>
          </w:p>
        </w:tc>
        <w:tc>
          <w:tcPr>
            <w:tcW w:w="128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32.64910603</w:t>
            </w:r>
          </w:p>
        </w:tc>
        <w:tc>
          <w:tcPr>
            <w:tcW w:w="99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水域巡查</w:t>
            </w:r>
          </w:p>
        </w:tc>
        <w:tc>
          <w:tcPr>
            <w:tcW w:w="10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9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14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510822-05-</w:t>
            </w:r>
            <w:r>
              <w:rPr>
                <w:rFonts w:hint="default" w:asciiTheme="minorAscii" w:hAnsiTheme="minorAscii" w:eastAsiaTheme="minorEastAsia" w:cstheme="minorEastAsia"/>
                <w:sz w:val="18"/>
                <w:szCs w:val="18"/>
                <w:highlight w:val="none"/>
                <w:vertAlign w:val="baseline"/>
                <w:lang w:val="en-US" w:eastAsia="zh-CN"/>
              </w:rPr>
              <w:t>004</w:t>
            </w:r>
          </w:p>
        </w:tc>
        <w:tc>
          <w:tcPr>
            <w:tcW w:w="1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沙洲镇无人机基站</w:t>
            </w:r>
          </w:p>
        </w:tc>
        <w:tc>
          <w:tcPr>
            <w:tcW w:w="13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105.48971019</w:t>
            </w:r>
          </w:p>
        </w:tc>
        <w:tc>
          <w:tcPr>
            <w:tcW w:w="128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32.67365195</w:t>
            </w:r>
          </w:p>
        </w:tc>
        <w:tc>
          <w:tcPr>
            <w:tcW w:w="99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水域巡查</w:t>
            </w:r>
          </w:p>
        </w:tc>
        <w:tc>
          <w:tcPr>
            <w:tcW w:w="10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重点湖区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94"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14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510822-05-002</w:t>
            </w:r>
          </w:p>
        </w:tc>
        <w:tc>
          <w:tcPr>
            <w:tcW w:w="166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金洞乡无人机基站</w:t>
            </w:r>
          </w:p>
        </w:tc>
        <w:tc>
          <w:tcPr>
            <w:tcW w:w="1368"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105.55717733</w:t>
            </w:r>
          </w:p>
        </w:tc>
        <w:tc>
          <w:tcPr>
            <w:tcW w:w="128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32.61045587</w:t>
            </w:r>
          </w:p>
        </w:tc>
        <w:tc>
          <w:tcPr>
            <w:tcW w:w="99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水域巡查</w:t>
            </w:r>
          </w:p>
        </w:tc>
        <w:tc>
          <w:tcPr>
            <w:tcW w:w="10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重点湖区</w:t>
            </w:r>
          </w:p>
        </w:tc>
      </w:tr>
    </w:tbl>
    <w:p>
      <w:pPr>
        <w:pStyle w:val="7"/>
        <w:keepNext/>
        <w:keepLines/>
        <w:pageBreakBefore w:val="0"/>
        <w:widowControl w:val="0"/>
        <w:kinsoku/>
        <w:wordWrap/>
        <w:overflowPunct/>
        <w:topLinePunct w:val="0"/>
        <w:autoSpaceDE/>
        <w:autoSpaceDN/>
        <w:bidi w:val="0"/>
        <w:adjustRightInd/>
        <w:snapToGrid w:val="0"/>
        <w:spacing w:before="333" w:beforeLines="100"/>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配置清单</w:t>
      </w:r>
    </w:p>
    <w:tbl>
      <w:tblPr>
        <w:tblStyle w:val="19"/>
        <w:tblW w:w="8990"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288"/>
        <w:gridCol w:w="804"/>
        <w:gridCol w:w="744"/>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highlight w:val="none"/>
                <w:vertAlign w:val="baseline"/>
                <w:lang w:val="en-US" w:eastAsia="zh-CN"/>
              </w:rPr>
            </w:pPr>
            <w:r>
              <w:rPr>
                <w:rFonts w:hint="default" w:asciiTheme="minorAscii" w:hAnsiTheme="minorAscii" w:eastAsiaTheme="minorEastAsia" w:cstheme="minorEastAsia"/>
                <w:b/>
                <w:bCs/>
                <w:sz w:val="18"/>
                <w:szCs w:val="18"/>
                <w:highlight w:val="none"/>
                <w:vertAlign w:val="baseline"/>
                <w:lang w:val="en-US" w:eastAsia="zh-CN"/>
              </w:rPr>
              <w:t>序号</w:t>
            </w:r>
          </w:p>
        </w:tc>
        <w:tc>
          <w:tcPr>
            <w:tcW w:w="32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highlight w:val="none"/>
                <w:vertAlign w:val="baseline"/>
                <w:lang w:val="en-US" w:eastAsia="zh-CN"/>
              </w:rPr>
            </w:pPr>
            <w:r>
              <w:rPr>
                <w:rFonts w:hint="default" w:asciiTheme="minorAscii" w:hAnsiTheme="minorAscii" w:eastAsiaTheme="minorEastAsia" w:cstheme="minorEastAsia"/>
                <w:b/>
                <w:bCs/>
                <w:sz w:val="18"/>
                <w:szCs w:val="18"/>
                <w:highlight w:val="none"/>
                <w:vertAlign w:val="baseline"/>
                <w:lang w:val="en-US" w:eastAsia="zh-CN"/>
              </w:rPr>
              <w:t>设备设施名称</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highlight w:val="none"/>
                <w:vertAlign w:val="baseline"/>
                <w:lang w:val="en-US" w:eastAsia="zh-CN"/>
              </w:rPr>
            </w:pPr>
            <w:r>
              <w:rPr>
                <w:rFonts w:hint="default" w:asciiTheme="minorAscii" w:hAnsiTheme="minorAscii" w:eastAsiaTheme="minorEastAsia" w:cstheme="minorEastAsia"/>
                <w:b/>
                <w:bCs/>
                <w:sz w:val="18"/>
                <w:szCs w:val="18"/>
                <w:highlight w:val="none"/>
                <w:vertAlign w:val="baseline"/>
                <w:lang w:val="en-US" w:eastAsia="zh-CN"/>
              </w:rPr>
              <w:t>数量</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highlight w:val="none"/>
                <w:vertAlign w:val="baseline"/>
                <w:lang w:val="en-US" w:eastAsia="zh-CN"/>
              </w:rPr>
            </w:pPr>
            <w:r>
              <w:rPr>
                <w:rFonts w:hint="default" w:asciiTheme="minorAscii" w:hAnsiTheme="minorAscii" w:eastAsiaTheme="minorEastAsia" w:cstheme="minorEastAsia"/>
                <w:b/>
                <w:bCs/>
                <w:sz w:val="18"/>
                <w:szCs w:val="18"/>
                <w:highlight w:val="none"/>
                <w:vertAlign w:val="baseline"/>
                <w:lang w:val="en-US" w:eastAsia="zh-CN"/>
              </w:rPr>
              <w:t>单位</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highlight w:val="none"/>
                <w:vertAlign w:val="baseline"/>
                <w:lang w:val="en-US" w:eastAsia="zh-CN"/>
              </w:rPr>
            </w:pPr>
            <w:r>
              <w:rPr>
                <w:rFonts w:hint="default" w:asciiTheme="minorAscii" w:hAnsiTheme="minorAscii" w:eastAsiaTheme="minorEastAsia" w:cstheme="minorEastAsia"/>
                <w:b/>
                <w:bCs/>
                <w:sz w:val="18"/>
                <w:szCs w:val="18"/>
                <w:highlight w:val="none"/>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1</w:t>
            </w:r>
          </w:p>
        </w:tc>
        <w:tc>
          <w:tcPr>
            <w:tcW w:w="32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无人机全自动机场</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3</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台</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飞凤村无人机基站的自动机场部署在游客中心侧旁钢制机场塔上；幸福岛无人机基站的自动机场部署在游客中心楼顶一侧天台上；沙州镇无人机基站的自动机场部署在海事趸船楼顶天台。详细设计见相关图纸。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2</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highlight w:val="none"/>
                <w:vertAlign w:val="baseline"/>
                <w:lang w:val="en-US" w:eastAsia="zh-CN" w:bidi="ar-SA"/>
              </w:rPr>
              <w:t>红外巡查无人机</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3</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台</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3</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highlight w:val="none"/>
                <w:vertAlign w:val="baseline"/>
                <w:lang w:val="en-US" w:eastAsia="zh-CN" w:bidi="ar-SA"/>
              </w:rPr>
              <w:t>巡查无人机电池</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9</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每台</w:t>
            </w:r>
            <w:r>
              <w:rPr>
                <w:rFonts w:hint="default" w:asciiTheme="minorAscii" w:hAnsiTheme="minorAscii" w:eastAsiaTheme="minorEastAsia" w:cstheme="minorEastAsia"/>
                <w:kern w:val="2"/>
                <w:sz w:val="18"/>
                <w:szCs w:val="18"/>
                <w:highlight w:val="none"/>
                <w:vertAlign w:val="baseline"/>
                <w:lang w:val="en-US" w:eastAsia="zh-CN" w:bidi="ar-SA"/>
              </w:rPr>
              <w:t>红外巡查</w:t>
            </w:r>
            <w:r>
              <w:rPr>
                <w:rFonts w:hint="default" w:asciiTheme="minorAscii" w:hAnsiTheme="minorAscii" w:eastAsiaTheme="minorEastAsia" w:cstheme="minorEastAsia"/>
                <w:sz w:val="18"/>
                <w:szCs w:val="18"/>
                <w:highlight w:val="none"/>
                <w:vertAlign w:val="baseline"/>
                <w:lang w:val="en-US" w:eastAsia="zh-CN"/>
              </w:rPr>
              <w:t>无人机各配3块，</w:t>
            </w:r>
            <w:r>
              <w:rPr>
                <w:rFonts w:hint="default" w:asciiTheme="minorAscii" w:hAnsiTheme="minorAscii" w:eastAsiaTheme="minorEastAsia" w:cstheme="minorEastAsia"/>
                <w:sz w:val="18"/>
                <w:szCs w:val="18"/>
                <w:vertAlign w:val="baseline"/>
                <w:lang w:val="en-US" w:eastAsia="zh-CN"/>
              </w:rPr>
              <w:t>详细描述见分部分项工程量清单</w:t>
            </w:r>
            <w:r>
              <w:rPr>
                <w:rFonts w:hint="default" w:asciiTheme="minorAscii" w:hAnsiTheme="minorAscii" w:eastAsiaTheme="minorEastAsia" w:cstheme="minorEastAsia"/>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4</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highlight w:val="none"/>
                <w:vertAlign w:val="baseline"/>
                <w:lang w:val="en-US" w:eastAsia="zh-CN" w:bidi="ar-SA"/>
              </w:rPr>
              <w:t>喊话器</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3</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台</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5</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highlight w:val="none"/>
                <w:vertAlign w:val="baseline"/>
                <w:lang w:val="en-US" w:eastAsia="zh-CN" w:bidi="ar-SA"/>
              </w:rPr>
              <w:t>探照灯</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3</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台</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6</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highlight w:val="none"/>
                <w:vertAlign w:val="baseline"/>
                <w:lang w:val="en-US" w:eastAsia="zh-CN" w:bidi="ar-SA"/>
              </w:rPr>
              <w:t>无人机无人值守平台（一体机）</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1</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7</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highlight w:val="none"/>
                <w:vertAlign w:val="baseline"/>
                <w:lang w:val="en-US" w:eastAsia="zh-CN" w:bidi="ar-SA"/>
              </w:rPr>
              <w:t>机场保险</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3</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台</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高风险设备，必须采用保险为国有资产护驾。详细描述见分部分项工程量清单。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8</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highlight w:val="none"/>
                <w:vertAlign w:val="baseline"/>
                <w:lang w:val="en-US" w:eastAsia="zh-CN" w:bidi="ar-SA"/>
              </w:rPr>
              <w:t>巡查无人机保险</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3</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台</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高风险设备，必须采用保险为国有资产护驾。详细描述见分部分项工程量清单。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9</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重载无人机（套装）</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1</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10</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重载无人机电池</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11</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智能充电器</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12</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无人机中继站</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件</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13</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重载无人机保险</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14</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重载无人机第三者责任险</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高风险设备，必须采用保险为国有资产护驾。详细描述见分部分项工程量清单。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15</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四类多旋翼超视距驾驶证</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人</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16</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highlight w:val="none"/>
                <w:vertAlign w:val="baseline"/>
                <w:lang w:val="en-US" w:eastAsia="zh-CN" w:bidi="ar-SA"/>
              </w:rPr>
              <w:t>钢制机场塔（含基础）</w:t>
            </w:r>
          </w:p>
        </w:tc>
        <w:tc>
          <w:tcPr>
            <w:tcW w:w="80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1</w:t>
            </w:r>
          </w:p>
        </w:tc>
        <w:tc>
          <w:tcPr>
            <w:tcW w:w="74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幢</w:t>
            </w:r>
          </w:p>
        </w:tc>
        <w:tc>
          <w:tcPr>
            <w:tcW w:w="34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部署在飞凤村无人机基站，详细设计见相关图纸，</w:t>
            </w:r>
            <w:r>
              <w:rPr>
                <w:rFonts w:hint="default" w:asciiTheme="minorAscii" w:hAnsiTheme="minorAscii" w:eastAsiaTheme="minorEastAsia" w:cstheme="minorEastAsia"/>
                <w:sz w:val="18"/>
                <w:szCs w:val="18"/>
                <w:vertAlign w:val="baseline"/>
                <w:lang w:val="en-US" w:eastAsia="zh-CN"/>
              </w:rPr>
              <w:t>详细描述见分部分项工程量清单。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w:t>
            </w:r>
          </w:p>
        </w:tc>
        <w:tc>
          <w:tcPr>
            <w:tcW w:w="3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机场电源配套</w:t>
            </w:r>
          </w:p>
        </w:tc>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1</w:t>
            </w:r>
          </w:p>
        </w:tc>
        <w:tc>
          <w:tcPr>
            <w:tcW w:w="74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kern w:val="2"/>
                <w:sz w:val="18"/>
                <w:szCs w:val="18"/>
                <w:highlight w:val="none"/>
                <w:vertAlign w:val="baseline"/>
                <w:lang w:val="en-US" w:eastAsia="zh-CN" w:bidi="ar-SA"/>
              </w:rPr>
              <w:t>项</w:t>
            </w:r>
          </w:p>
        </w:tc>
        <w:tc>
          <w:tcPr>
            <w:tcW w:w="343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详细设计见相关图纸。</w:t>
            </w:r>
          </w:p>
        </w:tc>
      </w:tr>
    </w:tbl>
    <w:p>
      <w:pPr>
        <w:pStyle w:val="5"/>
        <w:keepNext/>
        <w:keepLines/>
        <w:pageBreakBefore w:val="0"/>
        <w:widowControl w:val="0"/>
        <w:kinsoku/>
        <w:wordWrap/>
        <w:overflowPunct/>
        <w:topLinePunct w:val="0"/>
        <w:autoSpaceDE/>
        <w:autoSpaceDN/>
        <w:bidi w:val="0"/>
        <w:adjustRightInd/>
        <w:snapToGrid/>
        <w:spacing w:before="333" w:beforeLines="100"/>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 xml:space="preserve">湖区公共服务基础能力建设 </w:t>
      </w:r>
      <w:r>
        <w:rPr>
          <w:rFonts w:hint="default" w:asciiTheme="minorAscii" w:hAnsiTheme="minorAscii" w:eastAsiaTheme="minorEastAsia" w:cstheme="minorEastAsia"/>
          <w:sz w:val="24"/>
          <w:szCs w:val="24"/>
          <w:vertAlign w:val="subscript"/>
          <w:lang w:val="en-US" w:eastAsia="zh-CN"/>
        </w:rPr>
        <w:t>注1</w:t>
      </w:r>
    </w:p>
    <w:p>
      <w:pPr>
        <w:pStyle w:val="7"/>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i w:val="0"/>
          <w:iCs w:val="0"/>
          <w:caps w:val="0"/>
          <w:color w:val="0D0D0D"/>
          <w:spacing w:val="0"/>
          <w:sz w:val="24"/>
          <w:szCs w:val="24"/>
          <w:shd w:val="clear" w:fill="FFFFFF"/>
          <w:lang w:val="en-US" w:eastAsia="zh-CN"/>
        </w:rPr>
        <w:t>湖</w:t>
      </w:r>
      <w:r>
        <w:rPr>
          <w:rFonts w:hint="default" w:asciiTheme="minorAscii" w:hAnsiTheme="minorAscii" w:eastAsiaTheme="minorEastAsia" w:cstheme="minorEastAsia"/>
          <w:i w:val="0"/>
          <w:iCs w:val="0"/>
          <w:caps w:val="0"/>
          <w:color w:val="0D0D0D"/>
          <w:spacing w:val="0"/>
          <w:sz w:val="24"/>
          <w:szCs w:val="24"/>
          <w:shd w:val="clear" w:fill="FFFFFF"/>
        </w:rPr>
        <w:t>区公共服务基础能力建设以数字化、智能化为核心，构建了“感知-传输-处理-服务”全链条协同体系：数字广播系统作为信息传输枢纽，通过</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节目</w:t>
      </w:r>
      <w:r>
        <w:rPr>
          <w:rFonts w:hint="default" w:asciiTheme="minorAscii" w:hAnsiTheme="minorAscii" w:eastAsiaTheme="minorEastAsia" w:cstheme="minorEastAsia"/>
          <w:i w:val="0"/>
          <w:iCs w:val="0"/>
          <w:caps w:val="0"/>
          <w:color w:val="0D0D0D"/>
          <w:spacing w:val="0"/>
          <w:sz w:val="24"/>
          <w:szCs w:val="24"/>
          <w:shd w:val="clear" w:fill="FFFFFF"/>
        </w:rPr>
        <w:t>播报与应急联动机制，实现全域覆盖的语音引导与安全预警；通过无人机航拍全景湖区与重点景点细节特写制作纪录片，以震撼视觉、多元内容、精准传播和情感化叙事，全方位强化景区生态魅力与文化辨识度；</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通过对重点部位新建</w:t>
      </w:r>
      <w:r>
        <w:rPr>
          <w:rFonts w:hint="default" w:asciiTheme="minorAscii" w:hAnsiTheme="minorAscii" w:eastAsiaTheme="minorEastAsia" w:cstheme="minorEastAsia"/>
          <w:i w:val="0"/>
          <w:iCs w:val="0"/>
          <w:caps w:val="0"/>
          <w:color w:val="0D0D0D"/>
          <w:spacing w:val="0"/>
          <w:sz w:val="24"/>
          <w:szCs w:val="24"/>
          <w:shd w:val="clear" w:fill="FFFFFF"/>
        </w:rPr>
        <w:t>导视标识</w:t>
      </w:r>
      <w:r>
        <w:rPr>
          <w:rFonts w:hint="default" w:asciiTheme="minorAscii" w:hAnsiTheme="minorAscii" w:eastAsiaTheme="minorEastAsia" w:cstheme="minorEastAsia"/>
          <w:i w:val="0"/>
          <w:iCs w:val="0"/>
          <w:caps w:val="0"/>
          <w:color w:val="0D0D0D"/>
          <w:spacing w:val="0"/>
          <w:sz w:val="24"/>
          <w:szCs w:val="24"/>
          <w:shd w:val="clear" w:fill="FFFFFF"/>
          <w:lang w:eastAsia="zh-CN"/>
        </w:rPr>
        <w:t>，</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对现有导视标识进行复原修复</w:t>
      </w:r>
      <w:r>
        <w:rPr>
          <w:rFonts w:hint="default" w:asciiTheme="minorAscii" w:hAnsiTheme="minorAscii" w:eastAsiaTheme="minorEastAsia" w:cstheme="minorEastAsia"/>
          <w:i w:val="0"/>
          <w:iCs w:val="0"/>
          <w:caps w:val="0"/>
          <w:color w:val="0D0D0D"/>
          <w:spacing w:val="0"/>
          <w:sz w:val="24"/>
          <w:szCs w:val="24"/>
          <w:shd w:val="clear" w:fill="FFFFFF"/>
        </w:rPr>
        <w:t>，提升</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白龙湖景区内来往人员对各种生态环境</w:t>
      </w:r>
      <w:r>
        <w:rPr>
          <w:rFonts w:hint="default" w:asciiTheme="minorAscii" w:hAnsiTheme="minorAscii" w:eastAsiaTheme="minorEastAsia" w:cstheme="minorEastAsia"/>
          <w:i w:val="0"/>
          <w:iCs w:val="0"/>
          <w:caps w:val="0"/>
          <w:color w:val="0D0D0D"/>
          <w:spacing w:val="0"/>
          <w:sz w:val="24"/>
          <w:szCs w:val="24"/>
          <w:shd w:val="clear" w:fill="FFFFFF"/>
        </w:rPr>
        <w:t>空间</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的</w:t>
      </w:r>
      <w:r>
        <w:rPr>
          <w:rFonts w:hint="default" w:asciiTheme="minorAscii" w:hAnsiTheme="minorAscii" w:eastAsiaTheme="minorEastAsia" w:cstheme="minorEastAsia"/>
          <w:i w:val="0"/>
          <w:iCs w:val="0"/>
          <w:caps w:val="0"/>
          <w:color w:val="0D0D0D"/>
          <w:spacing w:val="0"/>
          <w:sz w:val="24"/>
          <w:szCs w:val="24"/>
          <w:shd w:val="clear" w:fill="FFFFFF"/>
        </w:rPr>
        <w:t>认知效率</w:t>
      </w:r>
      <w:r>
        <w:rPr>
          <w:rFonts w:hint="default" w:asciiTheme="minorAscii" w:hAnsiTheme="minorAscii" w:eastAsiaTheme="minorEastAsia" w:cstheme="minorEastAsia"/>
          <w:i w:val="0"/>
          <w:iCs w:val="0"/>
          <w:caps w:val="0"/>
          <w:color w:val="0D0D0D"/>
          <w:spacing w:val="0"/>
          <w:sz w:val="24"/>
          <w:szCs w:val="24"/>
          <w:shd w:val="clear" w:fill="FFFFFF"/>
          <w:lang w:eastAsia="zh-CN"/>
        </w:rPr>
        <w:t>，</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避免无序流动给当地“三水”平衡态势造成破坏</w:t>
      </w:r>
      <w:r>
        <w:rPr>
          <w:rFonts w:hint="default" w:asciiTheme="minorAscii" w:hAnsiTheme="minorAscii" w:eastAsiaTheme="minorEastAsia" w:cstheme="minorEastAsia"/>
          <w:i w:val="0"/>
          <w:iCs w:val="0"/>
          <w:caps w:val="0"/>
          <w:color w:val="0D0D0D"/>
          <w:spacing w:val="0"/>
          <w:sz w:val="24"/>
          <w:szCs w:val="24"/>
          <w:shd w:val="clear" w:fill="FFFFFF"/>
        </w:rPr>
        <w:t>；多媒体信息发布平台整合</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各类信息发布终端</w:t>
      </w:r>
      <w:r>
        <w:rPr>
          <w:rFonts w:hint="default" w:asciiTheme="minorAscii" w:hAnsiTheme="minorAscii" w:eastAsiaTheme="minorEastAsia" w:cstheme="minorEastAsia"/>
          <w:i w:val="0"/>
          <w:iCs w:val="0"/>
          <w:caps w:val="0"/>
          <w:color w:val="0D0D0D"/>
          <w:spacing w:val="0"/>
          <w:sz w:val="24"/>
          <w:szCs w:val="24"/>
          <w:shd w:val="clear" w:fill="FFFFFF"/>
        </w:rPr>
        <w:t>，实现</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景区</w:t>
      </w:r>
      <w:r>
        <w:rPr>
          <w:rFonts w:hint="default" w:asciiTheme="minorAscii" w:hAnsiTheme="minorAscii" w:eastAsiaTheme="minorEastAsia" w:cstheme="minorEastAsia"/>
          <w:i w:val="0"/>
          <w:iCs w:val="0"/>
          <w:caps w:val="0"/>
          <w:color w:val="0D0D0D"/>
          <w:spacing w:val="0"/>
          <w:sz w:val="24"/>
          <w:szCs w:val="24"/>
          <w:shd w:val="clear" w:fill="FFFFFF"/>
        </w:rPr>
        <w:t>信息的多渠道同步推送与智能更新；</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环境秩序导引（暨</w:t>
      </w:r>
      <w:r>
        <w:rPr>
          <w:rFonts w:hint="default" w:asciiTheme="minorAscii" w:hAnsiTheme="minorAscii" w:eastAsiaTheme="minorEastAsia" w:cstheme="minorEastAsia"/>
          <w:i w:val="0"/>
          <w:iCs w:val="0"/>
          <w:caps w:val="0"/>
          <w:color w:val="0D0D0D"/>
          <w:spacing w:val="0"/>
          <w:sz w:val="24"/>
          <w:szCs w:val="24"/>
          <w:shd w:val="clear" w:fill="FFFFFF"/>
        </w:rPr>
        <w:t>智慧导览</w:t>
      </w:r>
      <w:r>
        <w:rPr>
          <w:rFonts w:hint="default" w:asciiTheme="minorAscii" w:hAnsiTheme="minorAscii" w:eastAsiaTheme="minorEastAsia" w:cstheme="minorEastAsia"/>
          <w:i w:val="0"/>
          <w:iCs w:val="0"/>
          <w:caps w:val="0"/>
          <w:color w:val="0D0D0D"/>
          <w:spacing w:val="0"/>
          <w:sz w:val="24"/>
          <w:szCs w:val="24"/>
          <w:shd w:val="clear" w:fill="FFFFFF"/>
          <w:lang w:eastAsia="zh-CN"/>
        </w:rPr>
        <w:t>）</w:t>
      </w:r>
      <w:r>
        <w:rPr>
          <w:rFonts w:hint="default" w:asciiTheme="minorAscii" w:hAnsiTheme="minorAscii" w:eastAsiaTheme="minorEastAsia" w:cstheme="minorEastAsia"/>
          <w:i w:val="0"/>
          <w:iCs w:val="0"/>
          <w:caps w:val="0"/>
          <w:color w:val="0D0D0D"/>
          <w:spacing w:val="0"/>
          <w:sz w:val="24"/>
          <w:szCs w:val="24"/>
          <w:shd w:val="clear" w:fill="FFFFFF"/>
        </w:rPr>
        <w:t>系统，提供个性化路线规划、语音交互讲解及无障碍服务，形成“需求感知-资源匹配-服务反馈”的闭环机制。</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各系统</w:t>
      </w:r>
      <w:r>
        <w:rPr>
          <w:rFonts w:hint="default" w:asciiTheme="minorAscii" w:hAnsiTheme="minorAscii" w:eastAsiaTheme="minorEastAsia" w:cstheme="minorEastAsia"/>
          <w:i w:val="0"/>
          <w:iCs w:val="0"/>
          <w:caps w:val="0"/>
          <w:color w:val="0D0D0D"/>
          <w:spacing w:val="0"/>
          <w:sz w:val="24"/>
          <w:szCs w:val="24"/>
          <w:shd w:val="clear" w:fill="FFFFFF"/>
        </w:rPr>
        <w:t>深度协同，构建起“空间精准指引、信息立体触达、服务智能响应”的景区公共服务基础能力框架，为</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来往人员</w:t>
      </w:r>
      <w:r>
        <w:rPr>
          <w:rFonts w:hint="default" w:asciiTheme="minorAscii" w:hAnsiTheme="minorAscii" w:eastAsiaTheme="minorEastAsia" w:cstheme="minorEastAsia"/>
          <w:i w:val="0"/>
          <w:iCs w:val="0"/>
          <w:caps w:val="0"/>
          <w:color w:val="0D0D0D"/>
          <w:spacing w:val="0"/>
          <w:sz w:val="24"/>
          <w:szCs w:val="24"/>
          <w:shd w:val="clear" w:fill="FFFFFF"/>
        </w:rPr>
        <w:t>提供安全、便捷、个性化的</w:t>
      </w:r>
      <w:r>
        <w:rPr>
          <w:rFonts w:hint="default" w:asciiTheme="minorAscii" w:hAnsiTheme="minorAscii" w:eastAsiaTheme="minorEastAsia" w:cstheme="minorEastAsia"/>
          <w:i w:val="0"/>
          <w:iCs w:val="0"/>
          <w:caps w:val="0"/>
          <w:color w:val="0D0D0D"/>
          <w:spacing w:val="0"/>
          <w:sz w:val="24"/>
          <w:szCs w:val="24"/>
          <w:shd w:val="clear" w:fill="FFFFFF"/>
          <w:lang w:val="en-US" w:eastAsia="zh-CN"/>
        </w:rPr>
        <w:t>行程</w:t>
      </w:r>
      <w:r>
        <w:rPr>
          <w:rFonts w:hint="default" w:asciiTheme="minorAscii" w:hAnsiTheme="minorAscii" w:eastAsiaTheme="minorEastAsia" w:cstheme="minorEastAsia"/>
          <w:i w:val="0"/>
          <w:iCs w:val="0"/>
          <w:caps w:val="0"/>
          <w:color w:val="0D0D0D"/>
          <w:spacing w:val="0"/>
          <w:sz w:val="24"/>
          <w:szCs w:val="24"/>
          <w:shd w:val="clear" w:fill="FFFFFF"/>
        </w:rPr>
        <w:t>体验，同时推动景区管理向精细化、科学化方向升级。</w:t>
      </w:r>
    </w:p>
    <w:p>
      <w:pPr>
        <w:pStyle w:val="17"/>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景区入口“三水一体”协同管控体系宣贯大型导视牌是兼具理念、文化展示与导向功能的独立式标识，通过创意艺术造型传递白龙湖风景名胜区独特的文化与自然之美，宣传“三水一体”协同管控理念。作为景区的“门面担当”，通过构建白龙湖景区大型导视牌，以山水融合造型展现地域特色及“和谐共生”理念，同时具备高辨识度，让“三水一体”协同管控体系深入人心，为管湖治湖护湖奠定良好的思想基础和舆论氛围。</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u w:val="wave"/>
          <w:lang w:val="en-US" w:eastAsia="zh-CN"/>
        </w:rPr>
      </w:pPr>
      <w:r>
        <w:rPr>
          <w:rFonts w:hint="default" w:asciiTheme="minorAscii" w:hAnsiTheme="minorAscii" w:eastAsiaTheme="minorEastAsia" w:cstheme="minorEastAsia"/>
          <w:b/>
          <w:bCs/>
          <w:sz w:val="24"/>
          <w:szCs w:val="24"/>
          <w:u w:val="none"/>
          <w:lang w:val="en-US" w:eastAsia="zh-CN"/>
        </w:rPr>
        <w:t>注1：</w:t>
      </w:r>
      <w:r>
        <w:rPr>
          <w:rFonts w:hint="default" w:asciiTheme="minorAscii" w:hAnsiTheme="minorAscii" w:eastAsiaTheme="minorEastAsia" w:cstheme="minorEastAsia"/>
          <w:b/>
          <w:bCs/>
          <w:sz w:val="24"/>
          <w:szCs w:val="24"/>
          <w:u w:val="wave"/>
          <w:lang w:val="en-US" w:eastAsia="zh-CN"/>
        </w:rPr>
        <w:t>公共服务基础能力是白龙湖风景名胜区生态环境监管水平的重要体现之一，也是管湖、治湖和护湖的重要手段。但鉴于前期申报时尚未纳入可研报告建设内容中，为避免可研发生较大的变更，设计方案出于完整性考虑，保留公共服务基础能力建设的相关描述，但主要内容不再列入“广元白龙湖风景名胜区三水一体协同管控体系建设项目”分部分项工程量清单，不占项目工程建设费用。相关描述保留，可为项目后续建设提供技术参考。</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数字广播系统</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数字广播系统基于融合通信广播系统进行建设。融合通信广播系统的基本原理是将多种通信方式集成到一个系统中，并通过一套统一的协议来实现它们之间的无缝切换。无论用户使用哪种通信方式，系统都能够根据需要自动选择最佳的通信方式进行传输，从而提供更好的通信体验。本系统主要实现面向景区人群发声，事件触发喊话，在各中心广播生态环境保护的相关法律法规、政策文件及通知，转播电视电台节目等功能。</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融合通信广播系统的主要特点包括以下几个方面：</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 多功能性：融合通信广播系统可以实现多种类型的通信，包括音频广播、视频广播、文本信息传输、数据通信等。用户可以通过该系统进行语音通信、视频通话、数据传输等各种通信活动。</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 高效性：融合通信广播系统采用先进的通信技术和网络技术，能够在较短的时间内完成信息的传输和接收。系统具备高速传输和处理能力，可以满足大规模信息传输的需求。</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 可靠性：融合通信广播系统具备较强的抗干扰和容错能力，能够在恶劣环境下稳定工作。系统采用冗余设计和故障自动切换机制，可确保通信的可靠性和稳定性。</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4） 灵活性：融合通信广播系统具备较高的可配置性和可扩展性。系统可以根据具体需求进行配置，支持多种不同的通信模式和服务。同时，系统还可以通过扩展设备和网络资源来满足增长的通信需求。</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5） 兼容性：融合通信广播系统可以与其他通信系统进行兼容和互操作。系统采用开放的通信标准和协议，能够与其他厂家的设备和系统进行交互，实现信息的互通和共享。</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highlight w:val="none"/>
          <w:lang w:val="en-US" w:eastAsia="zh-CN"/>
        </w:rPr>
      </w:pPr>
      <w:r>
        <w:rPr>
          <w:rFonts w:hint="default" w:asciiTheme="minorAscii" w:hAnsiTheme="minorAscii" w:eastAsiaTheme="minorEastAsia" w:cstheme="minorEastAsia"/>
          <w:sz w:val="24"/>
          <w:szCs w:val="24"/>
          <w:highlight w:val="none"/>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基于融合通信系统通过指挥调度系统或智慧管理系统，可实现对前端</w:t>
      </w:r>
      <w:r>
        <w:rPr>
          <w:rFonts w:hint="default" w:asciiTheme="minorAscii" w:hAnsiTheme="minorAscii" w:eastAsiaTheme="minorEastAsia" w:cstheme="minorEastAsia"/>
          <w:sz w:val="24"/>
          <w:szCs w:val="24"/>
        </w:rPr>
        <w:t>户外防水网络音柱（30W）</w:t>
      </w:r>
      <w:r>
        <w:rPr>
          <w:rFonts w:hint="default" w:asciiTheme="minorAscii" w:hAnsiTheme="minorAscii" w:eastAsiaTheme="minorEastAsia" w:cstheme="minorEastAsia"/>
          <w:sz w:val="24"/>
          <w:szCs w:val="24"/>
          <w:lang w:val="en-US" w:eastAsia="zh-CN"/>
        </w:rPr>
        <w:t>喊话或播音。结合市局指挥中心和利州/青川分中心的音频接入网关设备可以利用前述音柱转播电视电台语音节目。</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点位设备设施及数量需求</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数字广播系统前端选取在景区各种感知终端立杆上，共计99处，采用户外防水网络音柱（30W）附挂的安装方式。后端利用融合通信平台。</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设备安装要点及注意事项</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1）避免障碍物：选择离墙壁、树木等障碍物较远的位置，确保声音传播无阻挡。</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2）高度建议：离地高度≥3.5米，倾斜角度控制在10-15°，以获得最佳投射效果。若场地条件有限，可调整至2-3米，但需通过声场测试优化效果。</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3）环境适应性：在嘈杂或风大环境中，优先选择相对安静、遮挡风源的位置，减少环境干扰。</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4）支架安装</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固定方式：使用适合音柱重量和尺寸的专业支架，确保安装稳固。若需悬挂，支架需承受音柱重量（30W音柱通常重约8.5-17kg）。</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地面固定：若放置于地面，需确保地面坚固平整，必要时使用混凝土基础加固。</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5）电气安全</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电源规范：使用AC220V±10%电源，避免使用过高电压引发触电或火灾。</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接地保护：确保音柱接地良好，防止雷击或静电损坏设备。</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航拍白龙湖风景名胜区</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 对白龙湖风景名胜区78.8平方米水域全域航拍，航拍视频分辨率不低于4K高清（≥3840*2160像素），对景区内重点部位或景点进行细节特写拍摄，并将本次拍摄的全部视频、图片素材移交给建设单位。拍摄机构及其工作人员不得私自使用前述素材，合法使用素材须经建设单位授权。</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 拍摄机构须对原始素材进行剪辑，制作成15分钟播放时长的记录片，须按照拍摄机构提交、建设单位审核确认的记录片制作方案进行配音、配乐，记录片著作权须归建设单位所有。</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航拍白龙湖风景名胜区、制作记录片的目的是为了以景区优美的山水，激发社会各界爱湖、护湖，营造全民参与白龙湖“三水一体”协同发展大计。</w:t>
      </w:r>
    </w:p>
    <w:p>
      <w:pPr>
        <w:pStyle w:val="7"/>
        <w:keepNext w:val="0"/>
        <w:keepLines w:val="0"/>
        <w:pageBreakBefore w:val="0"/>
        <w:widowControl w:val="0"/>
        <w:kinsoku/>
        <w:wordWrap/>
        <w:overflowPunct/>
        <w:topLinePunct w:val="0"/>
        <w:autoSpaceDE/>
        <w:autoSpaceDN/>
        <w:bidi w:val="0"/>
        <w:adjustRightInd w:val="0"/>
        <w:snapToGrid/>
        <w:spacing w:after="333" w:afterLines="100" w:line="300" w:lineRule="exact"/>
        <w:ind w:left="0" w:leftChars="0" w:firstLine="0" w:firstLineChars="0"/>
        <w:textAlignment w:val="auto"/>
        <w:rPr>
          <w:rFonts w:hint="default" w:asciiTheme="minorAscii" w:hAnsiTheme="minorAscii" w:eastAsiaTheme="minorEastAsia" w:cstheme="minorEastAsia"/>
          <w:sz w:val="24"/>
          <w:szCs w:val="24"/>
          <w:highlight w:val="none"/>
          <w:lang w:val="en-US" w:eastAsia="zh-CN"/>
        </w:rPr>
      </w:pPr>
      <w:r>
        <w:rPr>
          <w:rFonts w:hint="default" w:asciiTheme="minorAscii" w:hAnsiTheme="minorAscii" w:eastAsiaTheme="minorEastAsia" w:cstheme="minorEastAsia"/>
          <w:sz w:val="24"/>
          <w:szCs w:val="24"/>
          <w:highlight w:val="none"/>
          <w:lang w:val="en-US" w:eastAsia="zh-CN"/>
        </w:rPr>
        <w:t>白龙湖“三水一体”协同管控体系宣贯大型导视牌</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2405" cy="2483485"/>
            <wp:effectExtent l="0" t="0" r="635" b="635"/>
            <wp:docPr id="7" name="图片 7" descr="精神堡垒横式2025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精神堡垒横式20251106"/>
                    <pic:cNvPicPr>
                      <a:picLocks noChangeAspect="1"/>
                    </pic:cNvPicPr>
                  </pic:nvPicPr>
                  <pic:blipFill>
                    <a:blip r:embed="rId22"/>
                    <a:srcRect t="20702"/>
                    <a:stretch>
                      <a:fillRect/>
                    </a:stretch>
                  </pic:blipFill>
                  <pic:spPr>
                    <a:xfrm>
                      <a:off x="0" y="0"/>
                      <a:ext cx="5272405" cy="2483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图20 白龙湖风景名胜区“三水一体”协同管控体系宣贯大型导视牌模样图-正面</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2405" cy="2552700"/>
            <wp:effectExtent l="0" t="0" r="635" b="7620"/>
            <wp:docPr id="25" name="图片 25" descr="精神堡垒横式20251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精神堡垒横式20251106-2"/>
                    <pic:cNvPicPr>
                      <a:picLocks noChangeAspect="1"/>
                    </pic:cNvPicPr>
                  </pic:nvPicPr>
                  <pic:blipFill>
                    <a:blip r:embed="rId23"/>
                    <a:srcRect t="18491"/>
                    <a:stretch>
                      <a:fillRect/>
                    </a:stretch>
                  </pic:blipFill>
                  <pic:spPr>
                    <a:xfrm>
                      <a:off x="0" y="0"/>
                      <a:ext cx="5272405" cy="2552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图21 白龙湖风景名胜区“三水一体”协同管控体系宣贯大型导视牌模样图-背面</w:t>
      </w:r>
    </w:p>
    <w:p>
      <w:pPr>
        <w:keepNext w:val="0"/>
        <w:keepLines w:val="0"/>
        <w:pageBreakBefore w:val="0"/>
        <w:widowControl w:val="0"/>
        <w:numPr>
          <w:ilvl w:val="0"/>
          <w:numId w:val="25"/>
        </w:numPr>
        <w:kinsoku/>
        <w:wordWrap/>
        <w:overflowPunct/>
        <w:topLinePunct w:val="0"/>
        <w:autoSpaceDE/>
        <w:autoSpaceDN/>
        <w:bidi w:val="0"/>
        <w:adjustRightInd w:val="0"/>
        <w:snapToGrid w:val="0"/>
        <w:spacing w:before="333" w:beforeLines="10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要求“三水一体协同管控体系宣贯大型导视牌”沿着图20-1/2模样图展现的创意方向，由承制单位提供深化设计方案（包括但不限于3D效果图、加工图、创意说明），经建设单位审核确认后再定制、安装。</w:t>
      </w:r>
    </w:p>
    <w:p>
      <w:pPr>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三水一体协同管控体系宣贯大型导视牌”造型、材质、色泽须与白龙湖自然生态和文化完美相融，至少包括“白龙湖风景名胜区欢迎您”、导游图、国家级风景名胜区及白龙湖景区Logo等元素，远看壮观，近看亲切，传递白龙湖润泽一方的独有意蕴。</w:t>
      </w:r>
    </w:p>
    <w:p>
      <w:pPr>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“三水一体协同管控体系宣贯大型导视牌”外形尺寸规格至少符合7500*3500～6000mm*600～1000mm(宽*高*厚)范围，采用人工合成石纹材料，强度应支持至少70年使用寿命，包含安装所需的混凝土基础。</w:t>
      </w:r>
    </w:p>
    <w:p>
      <w:pPr>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正面、背面的图案、文字采用阴文刻、阳文刻及双钩浅刻等技法，凸现立体质感。色彩描绘要求艳而不俗，所用颜料至少十年不褪色。</w:t>
      </w:r>
    </w:p>
    <w:p>
      <w:pPr>
        <w:pStyle w:val="7"/>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highlight w:val="none"/>
          <w:lang w:val="en-US" w:eastAsia="zh-CN"/>
        </w:rPr>
      </w:pPr>
      <w:r>
        <w:rPr>
          <w:rFonts w:hint="default" w:asciiTheme="minorAscii" w:hAnsiTheme="minorAscii" w:eastAsiaTheme="minorEastAsia" w:cstheme="minorEastAsia"/>
          <w:sz w:val="24"/>
          <w:szCs w:val="24"/>
          <w:highlight w:val="none"/>
          <w:lang w:val="en-US" w:eastAsia="zh-CN"/>
        </w:rPr>
        <w:t>白龙湖风景名胜区入口前方F型生态环境监测显示屏</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212国道上、即将看到白龙湖风景名胜区“三水一体协同管控体系宣贯大型导视牌”之前，通过设立在212国道去往青川方向路侧的F型生态环境监测显示屏感受来自景区的热情欢迎、温馨提示和环境保护政策宣传。</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3171825" cy="3434080"/>
            <wp:effectExtent l="0" t="0" r="13335" b="1016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4"/>
                    <a:srcRect t="3829"/>
                    <a:stretch>
                      <a:fillRect/>
                    </a:stretch>
                  </pic:blipFill>
                  <pic:spPr>
                    <a:xfrm>
                      <a:off x="0" y="0"/>
                      <a:ext cx="3171825" cy="3434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图22 白龙湖风景名胜区入口前方F型生态环境监测显示屏大样图</w:t>
      </w:r>
    </w:p>
    <w:p>
      <w:pPr>
        <w:keepNext w:val="0"/>
        <w:keepLines w:val="0"/>
        <w:pageBreakBefore w:val="0"/>
        <w:widowControl w:val="0"/>
        <w:kinsoku/>
        <w:wordWrap/>
        <w:overflowPunct/>
        <w:topLinePunct w:val="0"/>
        <w:autoSpaceDE/>
        <w:autoSpaceDN/>
        <w:bidi w:val="0"/>
        <w:adjustRightInd w:val="0"/>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白龙湖风景名胜区入口前方F型F型生态环境监测显示屏采用户外P4全彩模组，显示面积4.51平方米。其作为户外全彩高刷屏，不仅可以清晰发布各类文字，还可以演播各种视频，是传播白龙湖、宣传生态环境保护政策的理想窗口。</w:t>
      </w:r>
    </w:p>
    <w:p>
      <w:pPr>
        <w:pStyle w:val="7"/>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导视标识系统</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根据《白龙湖风景名胜区导视提升方案》，在各景点、交通要道交叉/分支口、码头等位置投放一批导视标识标牌，并对利旧的标识标牌加以维修焕新。一方面引导湖区活动人群有序流动，避免对环境造成不必要的影响。另一方面，通过优化游客体验促进白龙湖风景名胜区绿色发展</w:t>
      </w:r>
    </w:p>
    <w:p>
      <w:pPr>
        <w:pStyle w:val="8"/>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设计原则</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1）导视系统，图面内容必须符合国家最新标准规范要求,同时,图框、图架设计必须与环境氛围协调,选用材质符合防潮耐用腐、环保、经济、耐用等要求。</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2）设施景观原则:要求导视系统即是一个功能设施，又是景区一道景观。</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3）内容规范化原则图面内容必须符合国家最新的导视系统相关规范和标准,科学严谨。</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4）内容合理化原则:严格按照景区、景点与设施的空间分布,结合各类标识功能,科学确定标识牌的种类、位置与数量做到延续性和引导性。</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5）最有效果与最有性价比结合原则:严格调查;科学论证:严控成本;确保效果。</w:t>
      </w:r>
    </w:p>
    <w:p>
      <w:pPr>
        <w:pStyle w:val="8"/>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重点部位标识牌</w:t>
      </w:r>
    </w:p>
    <w:p>
      <w:pPr>
        <w:pStyle w:val="9"/>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设计范围</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按</w:t>
      </w:r>
      <w:r>
        <w:rPr>
          <w:rFonts w:hint="default" w:asciiTheme="minorAscii" w:hAnsiTheme="minorAscii" w:eastAsiaTheme="minorEastAsia" w:cstheme="minorEastAsia"/>
          <w:spacing w:val="-6"/>
          <w:sz w:val="24"/>
          <w:szCs w:val="24"/>
          <w:lang w:val="en-US" w:eastAsia="zh-CN"/>
        </w:rPr>
        <w:t>《白龙湖风景名胜区导视提升方案》设计的样式和材质制作、安装生态环境监测台站简介牌7个；专项指引标识个16；停车场指引标识7个；卫生间指引标识7个；温馨提示/警示标识（立式）30个；包含安装所需的混凝土基础。</w:t>
      </w:r>
    </w:p>
    <w:p>
      <w:pPr>
        <w:pStyle w:val="9"/>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生态环境监测台站简介牌</w:t>
      </w:r>
    </w:p>
    <w:p>
      <w:pPr>
        <w:keepNext w:val="0"/>
        <w:keepLines w:val="0"/>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样式一：</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安装方式：落地安装；</w:t>
      </w:r>
      <w:r>
        <w:rPr>
          <w:rFonts w:hint="default" w:asciiTheme="minorAscii" w:hAnsiTheme="minorAscii" w:eastAsiaTheme="minorEastAsia" w:cstheme="minorEastAsia"/>
          <w:sz w:val="24"/>
          <w:szCs w:val="24"/>
          <w:highlight w:val="none"/>
          <w:lang w:val="en-US" w:eastAsia="zh-CN"/>
        </w:rPr>
        <w:t>材质：大理石+免漆实木</w:t>
      </w:r>
    </w:p>
    <w:p>
      <w:pPr>
        <w:rPr>
          <w:rFonts w:hint="default" w:asciiTheme="minorAscii" w:hAnsiTheme="minorAscii" w:eastAsiaTheme="minorEastAsia" w:cstheme="minorEastAsia"/>
          <w:sz w:val="24"/>
          <w:szCs w:val="24"/>
          <w:highlight w:val="yellow"/>
          <w:lang w:val="en-US" w:eastAsia="zh-CN"/>
        </w:rPr>
      </w:pPr>
      <w:r>
        <w:rPr>
          <w:rFonts w:hint="default" w:asciiTheme="minorAscii" w:hAnsiTheme="minorAscii" w:eastAsiaTheme="minorEastAsia" w:cstheme="minorEastAsia"/>
          <w:sz w:val="24"/>
          <w:szCs w:val="24"/>
          <w:lang w:val="en-US" w:eastAsia="zh-CN"/>
        </w:rPr>
        <w:t>尺寸：1200mm（W）*2200mm（H）*200mm（D）</w:t>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4818380" cy="3108960"/>
            <wp:effectExtent l="0" t="0" r="1270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5"/>
                    <a:srcRect b="4095"/>
                    <a:stretch>
                      <a:fillRect/>
                    </a:stretch>
                  </pic:blipFill>
                  <pic:spPr>
                    <a:xfrm>
                      <a:off x="0" y="0"/>
                      <a:ext cx="4818380" cy="3108960"/>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图23-1 生态环境监测台站简介牌样式一</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样式二：</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安装方式：花台安装；</w:t>
      </w:r>
      <w:r>
        <w:rPr>
          <w:rFonts w:hint="default" w:asciiTheme="minorAscii" w:hAnsiTheme="minorAscii" w:eastAsiaTheme="minorEastAsia" w:cstheme="minorEastAsia"/>
          <w:sz w:val="24"/>
          <w:szCs w:val="24"/>
          <w:highlight w:val="none"/>
          <w:lang w:val="en-US" w:eastAsia="zh-CN"/>
        </w:rPr>
        <w:t>材质：大理石+免漆实木</w:t>
      </w:r>
    </w:p>
    <w:p>
      <w:pPr>
        <w:rPr>
          <w:rFonts w:hint="default" w:asciiTheme="minorAscii" w:hAnsiTheme="minorAscii" w:eastAsiaTheme="minorEastAsia" w:cstheme="minorEastAsia"/>
          <w:sz w:val="24"/>
          <w:szCs w:val="24"/>
          <w:highlight w:val="none"/>
          <w:lang w:val="en-US" w:eastAsia="zh-CN"/>
        </w:rPr>
      </w:pPr>
      <w:r>
        <w:rPr>
          <w:rFonts w:hint="default" w:asciiTheme="minorAscii" w:hAnsiTheme="minorAscii" w:eastAsiaTheme="minorEastAsia" w:cstheme="minorEastAsia"/>
          <w:sz w:val="24"/>
          <w:szCs w:val="24"/>
          <w:lang w:val="en-US" w:eastAsia="zh-CN"/>
        </w:rPr>
        <w:t>尺寸：2200mm（W）*1500mm（H）*200mm（D）</w:t>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4838065" cy="3255010"/>
            <wp:effectExtent l="0" t="0" r="8255" b="635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6"/>
                    <a:stretch>
                      <a:fillRect/>
                    </a:stretch>
                  </pic:blipFill>
                  <pic:spPr>
                    <a:xfrm>
                      <a:off x="0" y="0"/>
                      <a:ext cx="4838065" cy="3255010"/>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lang w:val="en-US" w:eastAsia="zh-CN"/>
        </w:rPr>
        <w:t>图23-2 生态环境监测台站简介牌样式二</w:t>
      </w:r>
    </w:p>
    <w:p>
      <w:pPr>
        <w:pStyle w:val="9"/>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专项指引标识</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安装方式：落地安装；</w:t>
      </w:r>
      <w:r>
        <w:rPr>
          <w:rFonts w:hint="default" w:asciiTheme="minorAscii" w:hAnsiTheme="minorAscii" w:eastAsiaTheme="minorEastAsia" w:cstheme="minorEastAsia"/>
          <w:sz w:val="24"/>
          <w:szCs w:val="24"/>
          <w:highlight w:val="none"/>
          <w:lang w:val="en-US" w:eastAsia="zh-CN"/>
        </w:rPr>
        <w:t>材质：大理石+免漆实木</w:t>
      </w:r>
    </w:p>
    <w:p>
      <w:pPr>
        <w:rPr>
          <w:rFonts w:hint="default" w:asciiTheme="minorAscii" w:hAnsiTheme="minorAscii" w:eastAsiaTheme="minorEastAsia" w:cstheme="minorEastAsia"/>
          <w:sz w:val="24"/>
          <w:szCs w:val="24"/>
          <w:highlight w:val="yellow"/>
          <w:lang w:val="en-US" w:eastAsia="zh-CN"/>
        </w:rPr>
      </w:pPr>
      <w:r>
        <w:rPr>
          <w:rFonts w:hint="default" w:asciiTheme="minorAscii" w:hAnsiTheme="minorAscii" w:eastAsiaTheme="minorEastAsia" w:cstheme="minorEastAsia"/>
          <w:sz w:val="24"/>
          <w:szCs w:val="24"/>
          <w:lang w:val="en-US" w:eastAsia="zh-CN"/>
        </w:rPr>
        <w:t>尺寸：980mm（W）*2200mm（H）*200mm（D）</w:t>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3375660" cy="2867025"/>
            <wp:effectExtent l="0" t="0" r="7620" b="1333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7"/>
                    <a:stretch>
                      <a:fillRect/>
                    </a:stretch>
                  </pic:blipFill>
                  <pic:spPr>
                    <a:xfrm>
                      <a:off x="0" y="0"/>
                      <a:ext cx="3375660" cy="2867025"/>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图23-3 生态环境专项指引标识1</w:t>
      </w:r>
    </w:p>
    <w:p>
      <w:pPr>
        <w:pStyle w:val="9"/>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停车场指引标识</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安装方式：落地安装；</w:t>
      </w:r>
      <w:r>
        <w:rPr>
          <w:rFonts w:hint="default" w:asciiTheme="minorAscii" w:hAnsiTheme="minorAscii" w:eastAsiaTheme="minorEastAsia" w:cstheme="minorEastAsia"/>
          <w:sz w:val="24"/>
          <w:szCs w:val="24"/>
          <w:highlight w:val="none"/>
          <w:lang w:val="en-US" w:eastAsia="zh-CN"/>
        </w:rPr>
        <w:t>材质：大理石+免漆实木</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尺寸：630mm（W）*3000mm（H）*200mm（D）（具体造型尺寸按图示）</w:t>
      </w:r>
    </w:p>
    <w:p>
      <w:pPr>
        <w:tabs>
          <w:tab w:val="left" w:pos="6720"/>
        </w:tabs>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3349625" cy="3056890"/>
            <wp:effectExtent l="0" t="0" r="3175" b="635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8"/>
                    <a:stretch>
                      <a:fillRect/>
                    </a:stretch>
                  </pic:blipFill>
                  <pic:spPr>
                    <a:xfrm>
                      <a:off x="0" y="0"/>
                      <a:ext cx="3349625" cy="3056890"/>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sz w:val="24"/>
          <w:szCs w:val="24"/>
          <w:lang w:val="en-US"/>
        </w:rPr>
      </w:pPr>
      <w:r>
        <w:rPr>
          <w:rFonts w:hint="default" w:asciiTheme="minorAscii" w:hAnsiTheme="minorAscii" w:eastAsiaTheme="minorEastAsia" w:cstheme="minorEastAsia"/>
          <w:b/>
          <w:bCs/>
          <w:sz w:val="24"/>
          <w:szCs w:val="24"/>
          <w:lang w:val="en-US" w:eastAsia="zh-CN"/>
        </w:rPr>
        <w:t>图23-4 生态环境专项指引标识2</w:t>
      </w:r>
    </w:p>
    <w:p>
      <w:pPr>
        <w:pStyle w:val="9"/>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卫生间指引标识</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安装方式：落地安装；</w:t>
      </w:r>
      <w:r>
        <w:rPr>
          <w:rFonts w:hint="default" w:asciiTheme="minorAscii" w:hAnsiTheme="minorAscii" w:eastAsiaTheme="minorEastAsia" w:cstheme="minorEastAsia"/>
          <w:sz w:val="24"/>
          <w:szCs w:val="24"/>
          <w:highlight w:val="none"/>
          <w:lang w:val="en-US" w:eastAsia="zh-CN"/>
        </w:rPr>
        <w:t>材质：大理石+免漆实木</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尺寸：630mm（W）*2200mm（H）*150mm（D）（具体造型尺寸按图示）</w:t>
      </w:r>
    </w:p>
    <w:p>
      <w:pPr>
        <w:tabs>
          <w:tab w:val="left" w:pos="6720"/>
          <w:tab w:val="left" w:pos="6960"/>
        </w:tabs>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3653790" cy="3342005"/>
            <wp:effectExtent l="0" t="0" r="3810" b="1079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9"/>
                    <a:stretch>
                      <a:fillRect/>
                    </a:stretch>
                  </pic:blipFill>
                  <pic:spPr>
                    <a:xfrm>
                      <a:off x="0" y="0"/>
                      <a:ext cx="3653790" cy="3342005"/>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lang w:val="en-US" w:eastAsia="zh-CN"/>
        </w:rPr>
        <w:t>图23-5 生态环境专项指引标识3</w:t>
      </w:r>
    </w:p>
    <w:p>
      <w:pPr>
        <w:pStyle w:val="9"/>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温馨提示、警示标识(立式)</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安装方式：落地安装；</w:t>
      </w:r>
      <w:r>
        <w:rPr>
          <w:rFonts w:hint="default" w:asciiTheme="minorAscii" w:hAnsiTheme="minorAscii" w:eastAsiaTheme="minorEastAsia" w:cstheme="minorEastAsia"/>
          <w:sz w:val="24"/>
          <w:szCs w:val="24"/>
          <w:highlight w:val="none"/>
          <w:lang w:val="en-US" w:eastAsia="zh-CN"/>
        </w:rPr>
        <w:t>材质：大理石+免漆实木</w:t>
      </w:r>
    </w:p>
    <w:p>
      <w:pPr>
        <w:rPr>
          <w:rFonts w:hint="default" w:asciiTheme="minorAscii" w:hAnsiTheme="minorAscii" w:eastAsiaTheme="minorEastAsia" w:cstheme="minorEastAsia"/>
          <w:sz w:val="24"/>
          <w:szCs w:val="24"/>
          <w:highlight w:val="yellow"/>
          <w:lang w:val="en-US" w:eastAsia="zh-CN"/>
        </w:rPr>
      </w:pPr>
      <w:r>
        <w:rPr>
          <w:rFonts w:hint="default" w:asciiTheme="minorAscii" w:hAnsiTheme="minorAscii" w:eastAsiaTheme="minorEastAsia" w:cstheme="minorEastAsia"/>
          <w:sz w:val="24"/>
          <w:szCs w:val="24"/>
          <w:lang w:val="en-US" w:eastAsia="zh-CN"/>
        </w:rPr>
        <w:t>尺寸：150mm（W）*1000mm（H）*150mm（D）（具体造型尺寸按图示）</w:t>
      </w:r>
    </w:p>
    <w:p>
      <w:pPr>
        <w:tabs>
          <w:tab w:val="left" w:pos="6960"/>
        </w:tabs>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3644900" cy="2461895"/>
            <wp:effectExtent l="0" t="0" r="12700" b="698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0"/>
                    <a:stretch>
                      <a:fillRect/>
                    </a:stretch>
                  </pic:blipFill>
                  <pic:spPr>
                    <a:xfrm>
                      <a:off x="0" y="0"/>
                      <a:ext cx="3644900" cy="2461895"/>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lang w:val="en-US" w:eastAsia="zh-CN"/>
        </w:rPr>
        <w:t>图23-6 生态环境专项指引标识4</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利旧导视标识标牌维修焕新</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根据《白龙湖风景名胜区导视提升方案》，对12处外观受损的现有导视标识标牌进行复原修复，修复后尽量保持原样。</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多媒体信息发布系统</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媒体信息发布，则是一种通过计算机技术集成处理文本、图形、音频、视频等媒介，并构建交互性系统的信息技术。其系统由平台、终端群与用户组成，平台包含业务管理、网络传输与内容中心模块，支持远程集中控制和实时更新，广泛应用于政务、文旅等场景，被称为“第五媒体”。多媒体信息发布系统架构基于服务器-网络-播放器-显示设备的分层模型，支持联网远程控制。技术涵盖分屏播放、嵌入式系统稳定性和中央安全管理，硬件兼容主流显示设备，软件支持多格式媒体与权限分级，通过模块化设计适配不同规模场景需求，具备实时数据交互与跨平台发布能力。本项目选择</w:t>
      </w:r>
      <w:r>
        <w:rPr>
          <w:rFonts w:hint="default" w:asciiTheme="minorAscii" w:hAnsiTheme="minorAscii" w:eastAsiaTheme="minorEastAsia" w:cstheme="minorEastAsia"/>
          <w:sz w:val="24"/>
          <w:szCs w:val="24"/>
        </w:rPr>
        <w:t>耳屏、</w:t>
      </w:r>
      <w:r>
        <w:rPr>
          <w:rFonts w:hint="default" w:asciiTheme="minorAscii" w:hAnsiTheme="minorAscii" w:eastAsiaTheme="minorEastAsia" w:cstheme="minorEastAsia"/>
          <w:sz w:val="24"/>
          <w:szCs w:val="24"/>
          <w:vertAlign w:val="baseline"/>
          <w:lang w:val="en-US" w:eastAsia="zh-CN"/>
        </w:rPr>
        <w:t>98″4K超薄显示屏</w:t>
      </w:r>
      <w:r>
        <w:rPr>
          <w:rFonts w:hint="default" w:asciiTheme="minorAscii" w:hAnsiTheme="minorAscii" w:eastAsiaTheme="minorEastAsia" w:cstheme="minorEastAsia"/>
          <w:sz w:val="24"/>
          <w:szCs w:val="24"/>
        </w:rPr>
        <w:t>、室外防水触摸查询机</w:t>
      </w:r>
      <w:r>
        <w:rPr>
          <w:rFonts w:hint="default" w:asciiTheme="minorAscii" w:hAnsiTheme="minorAscii" w:eastAsiaTheme="minorEastAsia" w:cstheme="minorEastAsia"/>
          <w:sz w:val="24"/>
          <w:szCs w:val="24"/>
          <w:lang w:val="en-US" w:eastAsia="zh-CN"/>
        </w:rPr>
        <w:t>等载体作为面向居民和游客的多媒体发布终端。</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highlight w:val="none"/>
          <w:lang w:val="en-US" w:eastAsia="zh-CN"/>
        </w:rPr>
      </w:pPr>
      <w:r>
        <w:rPr>
          <w:rFonts w:hint="default" w:asciiTheme="minorAscii" w:hAnsiTheme="minorAscii" w:eastAsiaTheme="minorEastAsia" w:cstheme="minorEastAsia"/>
          <w:sz w:val="24"/>
          <w:szCs w:val="24"/>
          <w:highlight w:val="none"/>
          <w:lang w:val="en-US" w:eastAsia="zh-CN"/>
        </w:rPr>
        <w:t>系统架构</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本系统采用分层分布式设计，主要面向景区的多终端信息展示与交互需求。以下是系统架构的详细描述：</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Ⅰ. 核心控制层</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1）信息发布服务器</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① 作为系统核心，负责内容存储、任务调度、权限管理及数据同步。</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② 支持多媒体内容（视频、图片、文字等）的统一管理与分发。</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③ 通过局域网/公网与下级设备通信，保障内容实时更新。</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2）管理电脑</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① 提供可视化操作界面，供管理员配置发布内容、监控设备状态、制定播放计划。</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② 支持远程管理，可通过公网实现异地控制。</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Ⅱ. 网络传输层</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局域网/公网连接</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采用标准网络协议（如TCP/IP），确保服务器、管理端与终端设备间的高效通信。</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支持有线组网，适应不同场景部署需求。</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Ⅲ. 分发与执行层</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信息发布盒（9个）</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1）作为中间媒介，接收服务器指令并驱动终端设备。</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2）支持多终端协同控制，每个发布盒可管理多个显示设备。</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3）具备断网缓存功能，确保网络异常时内容正常播放。</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Ⅳ. 终端展示层</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1）触摸查询一体机（6台）</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提供交互式查询功能，用户可通过触屏获取信息（如地图导航、业务查询）。</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集成信息展示与数据反馈，支持定制化界面开发。</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2）98英寸4K超薄显示屏（4台）</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用于高清视频、图片的远场大屏展示，覆盖广告宣传、公告通知等场景。</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支持分屏、轮播等动态显示策略。</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3）耳屏（P1.2 LED屏，2台）</w:t>
      </w:r>
    </w:p>
    <w:p>
      <w:pPr>
        <w:keepNext w:val="0"/>
        <w:keepLines w:val="0"/>
        <w:pageBreakBefore w:val="0"/>
        <w:widowControl w:val="0"/>
        <w:kinsoku/>
        <w:wordWrap/>
        <w:overflowPunct/>
        <w:topLinePunct w:val="0"/>
        <w:autoSpaceDE/>
        <w:autoSpaceDN/>
        <w:bidi w:val="0"/>
        <w:snapToGrid/>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P1.2 LED屏，适用于近距离精细显示（如文字、二维码）。</w:t>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3693160" cy="2586990"/>
            <wp:effectExtent l="0" t="0" r="10160" b="381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1"/>
                    <a:stretch>
                      <a:fillRect/>
                    </a:stretch>
                  </pic:blipFill>
                  <pic:spPr>
                    <a:xfrm>
                      <a:off x="0" y="0"/>
                      <a:ext cx="3693160" cy="2586990"/>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图24 信息发布系统架构图</w:t>
      </w:r>
    </w:p>
    <w:p>
      <w:pPr>
        <w:pStyle w:val="8"/>
        <w:pageBreakBefore w:val="0"/>
        <w:kinsoku/>
        <w:wordWrap/>
        <w:overflowPunct/>
        <w:topLinePunct w:val="0"/>
        <w:autoSpaceDE/>
        <w:autoSpaceDN/>
        <w:bidi w:val="0"/>
        <w:spacing w:line="300" w:lineRule="exact"/>
        <w:textAlignment w:val="auto"/>
        <w:rPr>
          <w:rFonts w:hint="default" w:asciiTheme="minorAscii" w:hAnsiTheme="minorAscii" w:eastAsiaTheme="minorEastAsia" w:cstheme="minorEastAsia"/>
          <w:color w:val="auto"/>
          <w:sz w:val="24"/>
          <w:szCs w:val="24"/>
        </w:rPr>
      </w:pPr>
      <w:bookmarkStart w:id="17" w:name="_Toc503989655"/>
      <w:bookmarkStart w:id="18" w:name="_Toc432426785"/>
      <w:bookmarkStart w:id="19" w:name="_Toc415580019"/>
      <w:bookmarkStart w:id="20" w:name="_Toc421629265"/>
      <w:r>
        <w:rPr>
          <w:rFonts w:hint="default" w:asciiTheme="minorAscii" w:hAnsiTheme="minorAscii" w:eastAsiaTheme="minorEastAsia" w:cstheme="minorEastAsia"/>
          <w:color w:val="auto"/>
          <w:sz w:val="24"/>
          <w:szCs w:val="24"/>
        </w:rPr>
        <w:t>系统功能</w:t>
      </w:r>
      <w:bookmarkEnd w:id="17"/>
      <w:bookmarkEnd w:id="18"/>
      <w:bookmarkEnd w:id="19"/>
      <w:bookmarkEnd w:id="20"/>
    </w:p>
    <w:p>
      <w:pPr>
        <w:pageBreakBefore w:val="0"/>
        <w:kinsoku/>
        <w:wordWrap/>
        <w:overflowPunct/>
        <w:topLinePunct w:val="0"/>
        <w:autoSpaceDE/>
        <w:autoSpaceDN/>
        <w:bidi w:val="0"/>
        <w:spacing w:line="300" w:lineRule="exact"/>
        <w:ind w:firstLine="482"/>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b/>
          <w:color w:val="auto"/>
          <w:sz w:val="24"/>
          <w:szCs w:val="24"/>
        </w:rPr>
        <w:t>周期播放：</w:t>
      </w:r>
      <w:r>
        <w:rPr>
          <w:rFonts w:hint="default" w:asciiTheme="minorAscii" w:hAnsiTheme="minorAscii" w:eastAsiaTheme="minorEastAsia" w:cstheme="minorEastAsia"/>
          <w:color w:val="auto"/>
          <w:sz w:val="24"/>
          <w:szCs w:val="24"/>
        </w:rPr>
        <w:t>可按月/周设定循环播放，可单独设定周期内每天的播放时段。同时配合定时开关机、时段音量控制，既可进行信息发布又不至于打扰受众休息，引起反感。</w:t>
      </w:r>
    </w:p>
    <w:p>
      <w:pPr>
        <w:pageBreakBefore w:val="0"/>
        <w:kinsoku/>
        <w:wordWrap/>
        <w:overflowPunct/>
        <w:topLinePunct w:val="0"/>
        <w:autoSpaceDE/>
        <w:autoSpaceDN/>
        <w:bidi w:val="0"/>
        <w:spacing w:line="300" w:lineRule="exact"/>
        <w:ind w:firstLine="482"/>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b/>
          <w:color w:val="auto"/>
          <w:sz w:val="24"/>
          <w:szCs w:val="24"/>
        </w:rPr>
        <w:t>定时播放：</w:t>
      </w:r>
      <w:r>
        <w:rPr>
          <w:rFonts w:hint="default" w:asciiTheme="minorAscii" w:hAnsiTheme="minorAscii" w:eastAsiaTheme="minorEastAsia" w:cstheme="minorEastAsia"/>
          <w:color w:val="auto"/>
          <w:sz w:val="24"/>
          <w:szCs w:val="24"/>
        </w:rPr>
        <w:t>可根据需要自由设定节目播放的具体日期区间与时间段组合。可对不同的广告受众进行定时的广告投放，或特定提示、常规信息播放等。</w:t>
      </w:r>
    </w:p>
    <w:p>
      <w:pPr>
        <w:pageBreakBefore w:val="0"/>
        <w:kinsoku/>
        <w:wordWrap/>
        <w:overflowPunct/>
        <w:topLinePunct w:val="0"/>
        <w:autoSpaceDE/>
        <w:autoSpaceDN/>
        <w:bidi w:val="0"/>
        <w:spacing w:line="300" w:lineRule="exact"/>
        <w:ind w:firstLine="482"/>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b/>
          <w:color w:val="auto"/>
          <w:sz w:val="24"/>
          <w:szCs w:val="24"/>
        </w:rPr>
        <w:t>间隔插播：</w:t>
      </w:r>
      <w:r>
        <w:rPr>
          <w:rFonts w:hint="default" w:asciiTheme="minorAscii" w:hAnsiTheme="minorAscii" w:eastAsiaTheme="minorEastAsia" w:cstheme="minorEastAsia"/>
          <w:color w:val="auto"/>
          <w:sz w:val="24"/>
          <w:szCs w:val="24"/>
        </w:rPr>
        <w:t>每隔一段时间固体播放几个节目，常用于广告投放。</w:t>
      </w:r>
    </w:p>
    <w:p>
      <w:pPr>
        <w:pageBreakBefore w:val="0"/>
        <w:kinsoku/>
        <w:wordWrap/>
        <w:overflowPunct/>
        <w:topLinePunct w:val="0"/>
        <w:autoSpaceDE/>
        <w:autoSpaceDN/>
        <w:bidi w:val="0"/>
        <w:spacing w:line="300" w:lineRule="exact"/>
        <w:ind w:firstLine="48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独占节目插播：在周期播放、自定义播放方式中，可选独占节目选项，即为设置的时间内只播放该节目，也可由外部人员控制触发，可用于紧急信息广播、温馨提示，常规信息播报等</w:t>
      </w:r>
    </w:p>
    <w:p>
      <w:pPr>
        <w:pageBreakBefore w:val="0"/>
        <w:kinsoku/>
        <w:wordWrap/>
        <w:overflowPunct/>
        <w:topLinePunct w:val="0"/>
        <w:autoSpaceDE/>
        <w:autoSpaceDN/>
        <w:bidi w:val="0"/>
        <w:spacing w:line="300" w:lineRule="exact"/>
        <w:ind w:firstLine="482"/>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b/>
          <w:color w:val="auto"/>
          <w:sz w:val="24"/>
          <w:szCs w:val="24"/>
        </w:rPr>
        <w:t>分组播放：</w:t>
      </w:r>
      <w:r>
        <w:rPr>
          <w:rFonts w:hint="default" w:asciiTheme="minorAscii" w:hAnsiTheme="minorAscii" w:eastAsiaTheme="minorEastAsia" w:cstheme="minorEastAsia"/>
          <w:color w:val="auto"/>
          <w:sz w:val="24"/>
          <w:szCs w:val="24"/>
        </w:rPr>
        <w:t>不同终端，进行区域分组，每组内容可以播放同样的内容，不是组播放不同内容。</w:t>
      </w:r>
    </w:p>
    <w:p>
      <w:pPr>
        <w:pageBreakBefore w:val="0"/>
        <w:kinsoku/>
        <w:wordWrap/>
        <w:overflowPunct/>
        <w:topLinePunct w:val="0"/>
        <w:autoSpaceDE/>
        <w:autoSpaceDN/>
        <w:bidi w:val="0"/>
        <w:spacing w:line="300" w:lineRule="exact"/>
        <w:ind w:firstLine="48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以上几种播放方式组合，不同终端播放不同的节目内容，不同的时间段可播放不同的节目内容（分黄金时间与非黄金时间）。这样使播放的节目内容更具有针对性，大大提高关注度。</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点位设备设施及数量需求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1）耳屏P1.2 LED屏：飞凤游客中心2块。</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2）98″4K超薄显示屏：飞凤游客中心4台，幸福岛游客中心2台。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3）触摸查询一体机：飞凤游客中心2台，幸福岛游客中心1台，盐井溪观测平台或宝珠寺大坝（2选1）1个，沙州大湖观测平台1个，幸福岛AR全景观测平台1个。</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4）信息发布盒子：飞凤游客中心6台，幸福岛游客中心2台，G212国道白龙湖风景名胜区入口附近1台。</w:t>
      </w:r>
    </w:p>
    <w:p>
      <w:pPr>
        <w:pStyle w:val="5"/>
        <w:keepNext/>
        <w:keepLines/>
        <w:pageBreakBefore w:val="0"/>
        <w:widowControl w:val="0"/>
        <w:kinsoku/>
        <w:wordWrap/>
        <w:overflowPunct/>
        <w:topLinePunct w:val="0"/>
        <w:autoSpaceDE/>
        <w:autoSpaceDN/>
        <w:bidi w:val="0"/>
        <w:adjustRightInd/>
        <w:snapToGrid/>
        <w:spacing w:before="167" w:beforeLines="50"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配套设施建设</w:t>
      </w:r>
    </w:p>
    <w:p>
      <w:pPr>
        <w:pStyle w:val="7"/>
        <w:pageBreakBefore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一体化风光储能柱（10m/8.5m）、一体化光储能柱（6.4m）</w:t>
      </w:r>
    </w:p>
    <w:p>
      <w:pPr>
        <w:pageBreakBefore w:val="0"/>
        <w:numPr>
          <w:ilvl w:val="0"/>
          <w:numId w:val="0"/>
        </w:numPr>
        <w:kinsoku/>
        <w:wordWrap/>
        <w:overflowPunct/>
        <w:topLinePunct w:val="0"/>
        <w:autoSpaceDE/>
        <w:autoSpaceDN/>
        <w:bidi w:val="0"/>
        <w:spacing w:line="300" w:lineRule="exact"/>
        <w:ind w:left="480" w:left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Ⅰ</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杆件</w:t>
      </w:r>
    </w:p>
    <w:p>
      <w:pPr>
        <w:pStyle w:val="22"/>
        <w:pageBreakBefore w:val="0"/>
        <w:kinsoku/>
        <w:wordWrap/>
        <w:overflowPunct/>
        <w:topLinePunct w:val="0"/>
        <w:autoSpaceDE/>
        <w:autoSpaceDN/>
        <w:bidi w:val="0"/>
        <w:spacing w:line="300" w:lineRule="exact"/>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本项目新立杆件</w:t>
      </w:r>
      <w:r>
        <w:rPr>
          <w:rFonts w:hint="default" w:asciiTheme="minorAscii" w:hAnsiTheme="minorAscii" w:eastAsiaTheme="minorEastAsia" w:cstheme="minorEastAsia"/>
          <w:spacing w:val="0"/>
          <w:sz w:val="24"/>
          <w:szCs w:val="24"/>
          <w:lang w:val="en-US" w:eastAsia="zh-CN"/>
        </w:rPr>
        <w:t>97</w:t>
      </w:r>
      <w:r>
        <w:rPr>
          <w:rFonts w:hint="default" w:asciiTheme="minorAscii" w:hAnsiTheme="minorAscii" w:eastAsiaTheme="minorEastAsia" w:cstheme="minorEastAsia"/>
          <w:spacing w:val="0"/>
          <w:sz w:val="24"/>
          <w:szCs w:val="24"/>
        </w:rPr>
        <w:t>套，</w:t>
      </w:r>
      <w:r>
        <w:rPr>
          <w:rFonts w:hint="default" w:asciiTheme="minorAscii" w:hAnsiTheme="minorAscii" w:eastAsiaTheme="minorEastAsia" w:cstheme="minorEastAsia"/>
          <w:spacing w:val="0"/>
          <w:sz w:val="24"/>
          <w:szCs w:val="24"/>
          <w:lang w:val="en-US" w:eastAsia="zh-CN"/>
        </w:rPr>
        <w:t>分别为10</w:t>
      </w:r>
      <w:r>
        <w:rPr>
          <w:rFonts w:hint="default" w:asciiTheme="minorAscii" w:hAnsiTheme="minorAscii" w:eastAsiaTheme="minorEastAsia" w:cstheme="minorEastAsia"/>
          <w:spacing w:val="0"/>
          <w:sz w:val="24"/>
          <w:szCs w:val="24"/>
        </w:rPr>
        <w:t>米</w:t>
      </w:r>
      <w:r>
        <w:rPr>
          <w:rFonts w:hint="default" w:asciiTheme="minorAscii" w:hAnsiTheme="minorAscii" w:eastAsiaTheme="minorEastAsia" w:cstheme="minorEastAsia"/>
          <w:spacing w:val="0"/>
          <w:sz w:val="24"/>
          <w:szCs w:val="24"/>
          <w:lang w:val="en-US" w:eastAsia="zh-CN"/>
        </w:rPr>
        <w:t>一体化风光储能柱16根</w:t>
      </w:r>
      <w:r>
        <w:rPr>
          <w:rFonts w:hint="default" w:asciiTheme="minorAscii" w:hAnsiTheme="minorAscii" w:eastAsiaTheme="minorEastAsia" w:cstheme="minorEastAsia"/>
          <w:spacing w:val="0"/>
          <w:sz w:val="24"/>
          <w:szCs w:val="24"/>
          <w:lang w:eastAsia="zh-CN"/>
        </w:rPr>
        <w:t>、</w:t>
      </w:r>
      <w:r>
        <w:rPr>
          <w:rFonts w:hint="default" w:asciiTheme="minorAscii" w:hAnsiTheme="minorAscii" w:eastAsiaTheme="minorEastAsia" w:cstheme="minorEastAsia"/>
          <w:spacing w:val="0"/>
          <w:sz w:val="24"/>
          <w:szCs w:val="24"/>
          <w:lang w:val="en-US" w:eastAsia="zh-CN"/>
        </w:rPr>
        <w:t>10米L型八菱杆1根、8.5米一体化风光储能柱76根、6.4米一体化光储能柱2根、6米L型八菱杆2根；</w:t>
      </w:r>
      <w:r>
        <w:rPr>
          <w:rFonts w:hint="default" w:asciiTheme="minorAscii" w:hAnsiTheme="minorAscii" w:eastAsiaTheme="minorEastAsia" w:cstheme="minorEastAsia"/>
          <w:spacing w:val="0"/>
          <w:sz w:val="24"/>
          <w:szCs w:val="24"/>
        </w:rPr>
        <w:t>杆体材料采用Q235B及以上优质合金钢，主杆型</w:t>
      </w:r>
      <w:r>
        <w:rPr>
          <w:rFonts w:hint="default" w:asciiTheme="minorAscii" w:hAnsiTheme="minorAscii" w:eastAsiaTheme="minorEastAsia" w:cstheme="minorEastAsia"/>
          <w:spacing w:val="0"/>
          <w:sz w:val="24"/>
          <w:szCs w:val="24"/>
          <w:lang w:val="en-US" w:eastAsia="zh-CN"/>
        </w:rPr>
        <w:t>为</w:t>
      </w:r>
      <w:r>
        <w:rPr>
          <w:rFonts w:hint="default" w:asciiTheme="minorAscii" w:hAnsiTheme="minorAscii" w:eastAsiaTheme="minorEastAsia" w:cstheme="minorEastAsia"/>
          <w:spacing w:val="0"/>
          <w:sz w:val="24"/>
          <w:szCs w:val="24"/>
        </w:rPr>
        <w:t>四方型杆</w:t>
      </w:r>
      <w:r>
        <w:rPr>
          <w:rFonts w:hint="default" w:asciiTheme="minorAscii" w:hAnsiTheme="minorAscii" w:eastAsiaTheme="minorEastAsia" w:cstheme="minorEastAsia"/>
          <w:spacing w:val="0"/>
          <w:sz w:val="24"/>
          <w:szCs w:val="24"/>
          <w:lang w:val="en-US" w:eastAsia="zh-CN"/>
        </w:rPr>
        <w:t>和八菱型杆</w:t>
      </w:r>
      <w:r>
        <w:rPr>
          <w:rFonts w:hint="default" w:asciiTheme="minorAscii" w:hAnsiTheme="minorAscii" w:eastAsiaTheme="minorEastAsia" w:cstheme="minorEastAsia"/>
          <w:spacing w:val="0"/>
          <w:sz w:val="24"/>
          <w:szCs w:val="24"/>
        </w:rPr>
        <w:t>，横臂根据实际</w:t>
      </w:r>
      <w:r>
        <w:rPr>
          <w:rFonts w:hint="default" w:asciiTheme="minorAscii" w:hAnsiTheme="minorAscii" w:eastAsiaTheme="minorEastAsia" w:cstheme="minorEastAsia"/>
          <w:spacing w:val="0"/>
          <w:sz w:val="24"/>
          <w:szCs w:val="24"/>
          <w:lang w:val="en-US" w:eastAsia="zh-CN"/>
        </w:rPr>
        <w:t>使用需求</w:t>
      </w:r>
      <w:r>
        <w:rPr>
          <w:rFonts w:hint="default" w:asciiTheme="minorAscii" w:hAnsiTheme="minorAscii" w:eastAsiaTheme="minorEastAsia" w:cstheme="minorEastAsia"/>
          <w:spacing w:val="0"/>
          <w:sz w:val="24"/>
          <w:szCs w:val="24"/>
        </w:rPr>
        <w:t>选用</w:t>
      </w:r>
      <w:r>
        <w:rPr>
          <w:rFonts w:hint="default" w:asciiTheme="minorAscii" w:hAnsiTheme="minorAscii" w:eastAsiaTheme="minorEastAsia" w:cstheme="minorEastAsia"/>
          <w:spacing w:val="0"/>
          <w:sz w:val="24"/>
          <w:szCs w:val="24"/>
          <w:lang w:val="en-US" w:eastAsia="zh-CN"/>
        </w:rPr>
        <w:t>0.5米、1米、</w:t>
      </w:r>
      <w:r>
        <w:rPr>
          <w:rFonts w:hint="default" w:asciiTheme="minorAscii" w:hAnsiTheme="minorAscii" w:eastAsiaTheme="minorEastAsia" w:cstheme="minorEastAsia"/>
          <w:spacing w:val="0"/>
          <w:sz w:val="24"/>
          <w:szCs w:val="24"/>
        </w:rPr>
        <w:t>4米、6米长度</w:t>
      </w:r>
      <w:r>
        <w:rPr>
          <w:rFonts w:hint="default" w:asciiTheme="minorAscii" w:hAnsiTheme="minorAscii" w:eastAsiaTheme="minorEastAsia" w:cstheme="minorEastAsia"/>
          <w:spacing w:val="0"/>
          <w:sz w:val="24"/>
          <w:szCs w:val="24"/>
          <w:lang w:eastAsia="zh-CN"/>
        </w:rPr>
        <w:t>，</w:t>
      </w:r>
      <w:r>
        <w:rPr>
          <w:rFonts w:hint="default" w:asciiTheme="minorAscii" w:hAnsiTheme="minorAscii" w:eastAsiaTheme="minorEastAsia" w:cstheme="minorEastAsia"/>
          <w:spacing w:val="0"/>
          <w:sz w:val="24"/>
          <w:szCs w:val="24"/>
          <w:lang w:val="en-US" w:eastAsia="zh-CN"/>
        </w:rPr>
        <w:t>相关结构详见设计图</w:t>
      </w:r>
      <w:r>
        <w:rPr>
          <w:rFonts w:hint="default" w:asciiTheme="minorAscii" w:hAnsiTheme="minorAscii" w:eastAsiaTheme="minorEastAsia" w:cstheme="minorEastAsia"/>
          <w:spacing w:val="0"/>
          <w:sz w:val="24"/>
          <w:szCs w:val="24"/>
        </w:rPr>
        <w:t>。</w:t>
      </w:r>
      <w:r>
        <w:rPr>
          <w:rFonts w:hint="default" w:asciiTheme="minorAscii" w:hAnsiTheme="minorAscii" w:eastAsiaTheme="minorEastAsia" w:cstheme="minorEastAsia"/>
          <w:spacing w:val="0"/>
          <w:sz w:val="24"/>
          <w:szCs w:val="24"/>
          <w:lang w:val="en-US" w:eastAsia="zh-CN"/>
        </w:rPr>
        <w:t>杆件</w:t>
      </w:r>
      <w:r>
        <w:rPr>
          <w:rFonts w:hint="default" w:asciiTheme="minorAscii" w:hAnsiTheme="minorAscii" w:eastAsiaTheme="minorEastAsia" w:cstheme="minorEastAsia"/>
          <w:spacing w:val="0"/>
          <w:sz w:val="24"/>
          <w:szCs w:val="24"/>
        </w:rPr>
        <w:t>2.5米高度</w:t>
      </w:r>
      <w:r>
        <w:rPr>
          <w:rFonts w:hint="default" w:asciiTheme="minorAscii" w:hAnsiTheme="minorAscii" w:eastAsiaTheme="minorEastAsia" w:cstheme="minorEastAsia"/>
          <w:spacing w:val="0"/>
          <w:sz w:val="24"/>
          <w:szCs w:val="24"/>
          <w:lang w:val="en-US" w:eastAsia="zh-CN"/>
        </w:rPr>
        <w:t>处</w:t>
      </w:r>
      <w:r>
        <w:rPr>
          <w:rFonts w:hint="default" w:asciiTheme="minorAscii" w:hAnsiTheme="minorAscii" w:eastAsiaTheme="minorEastAsia" w:cstheme="minorEastAsia"/>
          <w:spacing w:val="0"/>
          <w:sz w:val="24"/>
          <w:szCs w:val="24"/>
        </w:rPr>
        <w:t>预留出线管（规格≥DN50热镀锌管，表面防锈涂层处理）和设备挂装支架。采用立杆固定时，杆底端焊接固定法兰盘，预留拉线孔，地基应是硬质，同时根据现场安装点的地质的实际情况，调整相应的尺寸。立杆的安装应牢固，不得歪斜，需用水平仪来测定；制作要美观，其顶部应做防水帽。立杆应有较高强度，抗台风、防摄像机抖动、防攀爬、防腐。立杆基础规格按不同的杆体进行分别设计。立杆应采用统一编号规则进行编号。杆体基础部分应有防雷接地系统，接地电阻不得大于10Ω。杆体抗风抗震等级及设计使用年限应符合《高耸结构设计标准》GB 50135-2019国家强制性标准。</w:t>
      </w:r>
    </w:p>
    <w:p>
      <w:pPr>
        <w:numPr>
          <w:ilvl w:val="0"/>
          <w:numId w:val="0"/>
        </w:numPr>
        <w:bidi w:val="0"/>
        <w:ind w:left="480" w:left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Ⅱ</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机箱</w:t>
      </w:r>
    </w:p>
    <w:p>
      <w:pPr>
        <w:keepNext w:val="0"/>
        <w:keepLines w:val="0"/>
        <w:pageBreakBefore w:val="0"/>
        <w:widowControl w:val="0"/>
        <w:kinsoku/>
        <w:wordWrap/>
        <w:overflowPunct/>
        <w:topLinePunct w:val="0"/>
        <w:autoSpaceDE/>
        <w:autoSpaceDN/>
        <w:bidi w:val="0"/>
        <w:adjustRightInd w:val="0"/>
        <w:snapToGrid w:val="0"/>
        <w:ind w:firstLine="524"/>
        <w:jc w:val="both"/>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箱体抱杆式机箱共计</w:t>
      </w:r>
      <w:r>
        <w:rPr>
          <w:rFonts w:hint="default" w:asciiTheme="minorAscii" w:hAnsiTheme="minorAscii" w:eastAsiaTheme="minorEastAsia" w:cstheme="minorEastAsia"/>
          <w:snapToGrid w:val="0"/>
          <w:spacing w:val="0"/>
          <w:kern w:val="0"/>
          <w:sz w:val="24"/>
          <w:szCs w:val="24"/>
          <w:lang w:val="en-US" w:eastAsia="zh-CN"/>
        </w:rPr>
        <w:t>99</w:t>
      </w:r>
      <w:r>
        <w:rPr>
          <w:rFonts w:hint="default" w:asciiTheme="minorAscii" w:hAnsiTheme="minorAscii" w:eastAsiaTheme="minorEastAsia" w:cstheme="minorEastAsia"/>
          <w:snapToGrid w:val="0"/>
          <w:spacing w:val="0"/>
          <w:kern w:val="0"/>
          <w:sz w:val="24"/>
          <w:szCs w:val="24"/>
        </w:rPr>
        <w:t>套</w:t>
      </w:r>
      <w:r>
        <w:rPr>
          <w:rFonts w:hint="default" w:asciiTheme="minorAscii" w:hAnsiTheme="minorAscii" w:eastAsiaTheme="minorEastAsia" w:cstheme="minorEastAsia"/>
          <w:snapToGrid w:val="0"/>
          <w:spacing w:val="0"/>
          <w:kern w:val="0"/>
          <w:sz w:val="24"/>
          <w:szCs w:val="24"/>
          <w:lang w:eastAsia="zh-CN"/>
        </w:rPr>
        <w:t>，</w:t>
      </w:r>
      <w:r>
        <w:rPr>
          <w:rFonts w:hint="default" w:asciiTheme="minorAscii" w:hAnsiTheme="minorAscii" w:eastAsiaTheme="minorEastAsia" w:cstheme="minorEastAsia"/>
          <w:snapToGrid w:val="0"/>
          <w:spacing w:val="0"/>
          <w:kern w:val="0"/>
          <w:sz w:val="24"/>
          <w:szCs w:val="24"/>
        </w:rPr>
        <w:t>尺寸为</w:t>
      </w:r>
      <w:r>
        <w:rPr>
          <w:rFonts w:hint="default" w:asciiTheme="minorAscii" w:hAnsiTheme="minorAscii" w:eastAsiaTheme="minorEastAsia" w:cstheme="minorEastAsia"/>
          <w:snapToGrid w:val="0"/>
          <w:spacing w:val="0"/>
          <w:kern w:val="0"/>
          <w:sz w:val="24"/>
          <w:szCs w:val="24"/>
          <w:lang w:val="zh-CN"/>
        </w:rPr>
        <w:t>500mm*400mm*300mm</w:t>
      </w:r>
      <w:r>
        <w:rPr>
          <w:rFonts w:hint="default" w:asciiTheme="minorAscii" w:hAnsiTheme="minorAscii" w:eastAsiaTheme="minorEastAsia" w:cstheme="minorEastAsia"/>
          <w:snapToGrid w:val="0"/>
          <w:spacing w:val="0"/>
          <w:kern w:val="0"/>
          <w:sz w:val="24"/>
          <w:szCs w:val="24"/>
        </w:rPr>
        <w:t>,箱体材质为镀锌板或不锈钢材质。</w:t>
      </w:r>
    </w:p>
    <w:p>
      <w:pPr>
        <w:pStyle w:val="22"/>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箱体内部应提供电源配电模块、</w:t>
      </w:r>
      <w:r>
        <w:rPr>
          <w:rFonts w:hint="default" w:asciiTheme="minorAscii" w:hAnsiTheme="minorAscii" w:eastAsiaTheme="minorEastAsia" w:cstheme="minorEastAsia"/>
          <w:spacing w:val="0"/>
          <w:sz w:val="24"/>
          <w:szCs w:val="24"/>
          <w:lang w:val="en-US" w:eastAsia="zh-CN"/>
        </w:rPr>
        <w:t>电源适配器、</w:t>
      </w:r>
      <w:r>
        <w:rPr>
          <w:rFonts w:hint="default" w:asciiTheme="minorAscii" w:hAnsiTheme="minorAscii" w:eastAsiaTheme="minorEastAsia" w:cstheme="minorEastAsia"/>
          <w:spacing w:val="0"/>
          <w:sz w:val="24"/>
          <w:szCs w:val="24"/>
        </w:rPr>
        <w:t>防雷模块、接地铜排、散热风扇，预留网络传输设备放置空间。根据各点位设备数量和其他接入设备要求，配置二合一防雷模块、防雷插座以及其他配套模块。箱体内部应具备充足空间方便设备安装和维护，同时应与杆体大小协调。用于箱体的金属材料应具备抵抗腐蚀、电化学反应、防酸雨能力，监控箱结构为露天环境使用设计，应具有良好的防水、防尘、散热、防盗、防寒、防曝晒结构。</w:t>
      </w:r>
    </w:p>
    <w:p>
      <w:pPr>
        <w:ind w:firstLine="48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object>
          <v:shape id="_x0000_i1025" o:spt="75" type="#_x0000_t75" style="height:174.25pt;width:334.9pt;" o:ole="t" filled="f" o:preferrelative="t" stroked="f" coordsize="21600,21600">
            <v:path/>
            <v:fill on="f" focussize="0,0"/>
            <v:stroke on="f"/>
            <v:imagedata r:id="rId33" o:title=""/>
            <o:lock v:ext="edit" aspectratio="t"/>
            <w10:wrap type="none"/>
            <w10:anchorlock/>
          </v:shape>
          <o:OLEObject Type="Embed" ProgID="Visio.Drawing.11" ShapeID="_x0000_i1025" DrawAspect="Content" ObjectID="_1468075725" r:id="rId32">
            <o:LockedField>false</o:LockedField>
          </o:OLEObject>
        </w:object>
      </w:r>
    </w:p>
    <w:p>
      <w:pPr>
        <w:pStyle w:val="15"/>
        <w:numPr>
          <w:ilvl w:val="0"/>
          <w:numId w:val="0"/>
        </w:numPr>
        <w:ind w:left="0" w:leftChars="0" w:firstLine="0" w:firstLineChars="0"/>
        <w:jc w:val="center"/>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
          <w:bCs/>
          <w:sz w:val="24"/>
          <w:szCs w:val="24"/>
          <w:lang w:val="en-US" w:eastAsia="zh-CN"/>
        </w:rPr>
        <w:t xml:space="preserve">图25 </w:t>
      </w:r>
      <w:r>
        <w:rPr>
          <w:rFonts w:hint="default" w:asciiTheme="minorAscii" w:hAnsiTheme="minorAscii" w:eastAsiaTheme="minorEastAsia" w:cstheme="minorEastAsia"/>
          <w:b/>
          <w:bCs/>
          <w:sz w:val="24"/>
          <w:szCs w:val="24"/>
        </w:rPr>
        <w:t>室外机箱接线示意图</w:t>
      </w:r>
    </w:p>
    <w:p>
      <w:pPr>
        <w:keepNext w:val="0"/>
        <w:keepLines w:val="0"/>
        <w:pageBreakBefore w:val="0"/>
        <w:widowControl w:val="0"/>
        <w:numPr>
          <w:ilvl w:val="0"/>
          <w:numId w:val="0"/>
        </w:numPr>
        <w:kinsoku/>
        <w:wordWrap/>
        <w:overflowPunct/>
        <w:topLinePunct w:val="0"/>
        <w:autoSpaceDE/>
        <w:autoSpaceDN/>
        <w:bidi w:val="0"/>
        <w:adjustRightInd/>
        <w:snapToGrid w:val="0"/>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Ⅲ</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防雷接地</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为</w:t>
      </w:r>
      <w:r>
        <w:rPr>
          <w:rFonts w:hint="default" w:asciiTheme="minorAscii" w:hAnsiTheme="minorAscii" w:eastAsiaTheme="minorEastAsia" w:cstheme="minorEastAsia"/>
          <w:spacing w:val="-6"/>
          <w:sz w:val="24"/>
          <w:szCs w:val="24"/>
        </w:rPr>
        <w:t>保护</w:t>
      </w:r>
      <w:r>
        <w:rPr>
          <w:rFonts w:hint="default" w:asciiTheme="minorAscii" w:hAnsiTheme="minorAscii" w:eastAsiaTheme="minorEastAsia" w:cstheme="minorEastAsia"/>
          <w:spacing w:val="-6"/>
          <w:sz w:val="24"/>
          <w:szCs w:val="24"/>
          <w:lang w:val="en-US" w:eastAsia="zh-CN"/>
        </w:rPr>
        <w:t>前端</w:t>
      </w:r>
      <w:r>
        <w:rPr>
          <w:rFonts w:hint="default" w:asciiTheme="minorAscii" w:hAnsiTheme="minorAscii" w:eastAsiaTheme="minorEastAsia" w:cstheme="minorEastAsia"/>
          <w:spacing w:val="-6"/>
          <w:sz w:val="24"/>
          <w:szCs w:val="24"/>
        </w:rPr>
        <w:t>设备不受到直接雷击而在立杆上设计安装避雷针，避雷针采用不小于φ</w:t>
      </w:r>
      <w:r>
        <w:rPr>
          <w:rFonts w:hint="default" w:asciiTheme="minorAscii" w:hAnsiTheme="minorAscii" w:eastAsiaTheme="minorEastAsia" w:cstheme="minorEastAsia"/>
          <w:spacing w:val="-6"/>
          <w:sz w:val="24"/>
          <w:szCs w:val="24"/>
          <w:lang w:val="en-US" w:eastAsia="zh-CN"/>
        </w:rPr>
        <w:t>12</w:t>
      </w:r>
      <w:r>
        <w:rPr>
          <w:rFonts w:hint="default" w:asciiTheme="minorAscii" w:hAnsiTheme="minorAscii" w:eastAsiaTheme="minorEastAsia" w:cstheme="minorEastAsia"/>
          <w:spacing w:val="-6"/>
          <w:sz w:val="24"/>
          <w:szCs w:val="24"/>
        </w:rPr>
        <w:t>㎜的圆钢，并和立杆一次成型。在设备箱内对电源、信号线安装相应的防感应雷措施，采用二合一防雷模块。由于避雷针的防护范围为30度夹角范围，目前普遍使用的长度30cm的避雷针仅能对臂长20cm的摄像机进行有效防护，因此在具体实施时，应在支臂上采用钢筋焊接的避雷带对感知设备进行有效防护。避雷带可采用不小于φ10㎜的圆钢制成，焊接在支臂上方，与支臂保持5cm距离并有效接地。本方案严格执行国家的有关标准和规范，立杆防雷接地电阻≤10Ω。</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接地网布置依据地形进行设计。立杆的基础由钢筋网加混凝土构成，</w:t>
      </w:r>
      <w:r>
        <w:rPr>
          <w:rFonts w:hint="default" w:asciiTheme="minorAscii" w:hAnsiTheme="minorAscii" w:eastAsiaTheme="minorEastAsia" w:cstheme="minorEastAsia"/>
          <w:spacing w:val="0"/>
          <w:sz w:val="24"/>
          <w:szCs w:val="24"/>
          <w:lang w:val="en-US" w:eastAsia="zh-CN"/>
        </w:rPr>
        <w:t>采</w:t>
      </w:r>
      <w:r>
        <w:rPr>
          <w:rFonts w:hint="default" w:asciiTheme="minorAscii" w:hAnsiTheme="minorAscii" w:eastAsiaTheme="minorEastAsia" w:cstheme="minorEastAsia"/>
          <w:spacing w:val="0"/>
          <w:sz w:val="24"/>
          <w:szCs w:val="24"/>
        </w:rPr>
        <w:t>用Ф</w:t>
      </w:r>
      <w:r>
        <w:rPr>
          <w:rFonts w:hint="default" w:asciiTheme="minorAscii" w:hAnsiTheme="minorAscii" w:eastAsiaTheme="minorEastAsia" w:cstheme="minorEastAsia"/>
          <w:spacing w:val="0"/>
          <w:sz w:val="24"/>
          <w:szCs w:val="24"/>
          <w:lang w:val="en-US" w:eastAsia="zh-CN"/>
        </w:rPr>
        <w:t>16</w:t>
      </w:r>
      <w:r>
        <w:rPr>
          <w:rFonts w:hint="default" w:asciiTheme="minorAscii" w:hAnsiTheme="minorAscii" w:eastAsiaTheme="minorEastAsia" w:cstheme="minorEastAsia"/>
          <w:spacing w:val="0"/>
          <w:sz w:val="24"/>
          <w:szCs w:val="24"/>
        </w:rPr>
        <w:t>mm</w:t>
      </w:r>
      <w:r>
        <w:rPr>
          <w:rFonts w:hint="default" w:asciiTheme="minorAscii" w:hAnsiTheme="minorAscii" w:eastAsiaTheme="minorEastAsia" w:cstheme="minorEastAsia"/>
          <w:spacing w:val="0"/>
          <w:sz w:val="24"/>
          <w:szCs w:val="24"/>
          <w:lang w:val="en-US" w:eastAsia="zh-CN"/>
        </w:rPr>
        <w:t>*1500</w:t>
      </w:r>
      <w:r>
        <w:rPr>
          <w:rFonts w:hint="default" w:asciiTheme="minorAscii" w:hAnsiTheme="minorAscii" w:eastAsiaTheme="minorEastAsia" w:cstheme="minorEastAsia"/>
          <w:spacing w:val="0"/>
          <w:sz w:val="24"/>
          <w:szCs w:val="24"/>
        </w:rPr>
        <w:t>mm的</w:t>
      </w:r>
      <w:r>
        <w:rPr>
          <w:rFonts w:hint="default" w:asciiTheme="minorAscii" w:hAnsiTheme="minorAscii" w:eastAsiaTheme="minorEastAsia" w:cstheme="minorEastAsia"/>
          <w:spacing w:val="0"/>
          <w:sz w:val="24"/>
          <w:szCs w:val="24"/>
          <w:lang w:val="en-US" w:eastAsia="zh-CN"/>
        </w:rPr>
        <w:t>接地棒</w:t>
      </w:r>
      <w:r>
        <w:rPr>
          <w:rFonts w:hint="default" w:asciiTheme="minorAscii" w:hAnsiTheme="minorAscii" w:eastAsiaTheme="minorEastAsia" w:cstheme="minorEastAsia"/>
          <w:spacing w:val="0"/>
          <w:sz w:val="24"/>
          <w:szCs w:val="24"/>
        </w:rPr>
        <w:t>作为接地极，同时用镀锌扁钢把接地极焊接形成接地网的一部分，在此接地网与法兰盘进行焊接，</w:t>
      </w:r>
      <w:r>
        <w:rPr>
          <w:rFonts w:hint="default" w:asciiTheme="minorAscii" w:hAnsiTheme="minorAscii" w:eastAsiaTheme="minorEastAsia" w:cstheme="minorEastAsia"/>
          <w:spacing w:val="0"/>
          <w:sz w:val="24"/>
          <w:szCs w:val="24"/>
          <w:lang w:val="en-US" w:eastAsia="zh-CN"/>
        </w:rPr>
        <w:t>接地棒</w:t>
      </w:r>
      <w:r>
        <w:rPr>
          <w:rFonts w:hint="default" w:asciiTheme="minorAscii" w:hAnsiTheme="minorAscii" w:eastAsiaTheme="minorEastAsia" w:cstheme="minorEastAsia"/>
          <w:spacing w:val="0"/>
          <w:sz w:val="24"/>
          <w:szCs w:val="24"/>
        </w:rPr>
        <w:t>需经过热镀锌工艺处理，以增加抗腐性能和提高其导电性能。当土壤电阻率太高而不能满足要求时，采用垂直接地极＋减阻剂的方法使地网接地电阻符合要求。</w:t>
      </w:r>
    </w:p>
    <w:p>
      <w:pPr>
        <w:keepNext w:val="0"/>
        <w:keepLines w:val="0"/>
        <w:pageBreakBefore w:val="0"/>
        <w:widowControl w:val="0"/>
        <w:numPr>
          <w:ilvl w:val="0"/>
          <w:numId w:val="0"/>
        </w:numPr>
        <w:kinsoku/>
        <w:wordWrap/>
        <w:overflowPunct/>
        <w:topLinePunct w:val="0"/>
        <w:autoSpaceDE/>
        <w:autoSpaceDN/>
        <w:bidi w:val="0"/>
        <w:snapToGrid w:val="0"/>
        <w:ind w:left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Ⅳ</w:t>
      </w:r>
      <w:r>
        <w:rPr>
          <w:rFonts w:hint="default" w:asciiTheme="minorAscii" w:hAnsiTheme="minorAscii" w:eastAsiaTheme="minorEastAsia" w:cstheme="minorEastAsia"/>
          <w:spacing w:val="0"/>
          <w:sz w:val="24"/>
          <w:szCs w:val="24"/>
          <w:lang w:val="en-US" w:eastAsia="zh-CN"/>
        </w:rPr>
        <w:t xml:space="preserve">. </w:t>
      </w:r>
      <w:r>
        <w:rPr>
          <w:rFonts w:hint="default" w:asciiTheme="minorAscii" w:hAnsiTheme="minorAscii" w:eastAsiaTheme="minorEastAsia" w:cstheme="minorEastAsia"/>
          <w:spacing w:val="0"/>
          <w:sz w:val="24"/>
          <w:szCs w:val="24"/>
        </w:rPr>
        <w:t>前端供电</w:t>
      </w:r>
    </w:p>
    <w:p>
      <w:pPr>
        <w:pStyle w:val="22"/>
        <w:keepNext w:val="0"/>
        <w:keepLines w:val="0"/>
        <w:pageBreakBefore w:val="0"/>
        <w:widowControl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系统前端设备</w:t>
      </w:r>
      <w:r>
        <w:rPr>
          <w:rFonts w:hint="default" w:asciiTheme="minorAscii" w:hAnsiTheme="minorAscii" w:eastAsiaTheme="minorEastAsia" w:cstheme="minorEastAsia"/>
          <w:spacing w:val="0"/>
          <w:sz w:val="24"/>
          <w:szCs w:val="24"/>
          <w:lang w:val="en-US" w:eastAsia="zh-CN"/>
        </w:rPr>
        <w:t>从光伏储能设备取点</w:t>
      </w:r>
      <w:r>
        <w:rPr>
          <w:rFonts w:hint="default" w:asciiTheme="minorAscii" w:hAnsiTheme="minorAscii" w:eastAsiaTheme="minorEastAsia" w:cstheme="minorEastAsia"/>
          <w:spacing w:val="0"/>
          <w:sz w:val="24"/>
          <w:szCs w:val="24"/>
        </w:rPr>
        <w:t>，电源回路开关应独立设置，并具备漏电保护功能</w:t>
      </w:r>
      <w:r>
        <w:rPr>
          <w:rFonts w:hint="default" w:asciiTheme="minorAscii" w:hAnsiTheme="minorAscii" w:eastAsiaTheme="minorEastAsia" w:cstheme="minorEastAsia"/>
          <w:spacing w:val="0"/>
          <w:sz w:val="24"/>
          <w:szCs w:val="24"/>
          <w:lang w:eastAsia="zh-CN"/>
        </w:rPr>
        <w:t>，</w:t>
      </w:r>
      <w:r>
        <w:rPr>
          <w:rFonts w:hint="default" w:asciiTheme="minorAscii" w:hAnsiTheme="minorAscii" w:eastAsiaTheme="minorEastAsia" w:cstheme="minorEastAsia"/>
          <w:spacing w:val="0"/>
          <w:sz w:val="24"/>
          <w:szCs w:val="24"/>
        </w:rPr>
        <w:t>配置漏电保护装置，防止行人触电。</w:t>
      </w:r>
    </w:p>
    <w:p>
      <w:pPr>
        <w:pStyle w:val="22"/>
        <w:keepNext w:val="0"/>
        <w:keepLines w:val="0"/>
        <w:pageBreakBefore w:val="0"/>
        <w:numPr>
          <w:ilvl w:val="0"/>
          <w:numId w:val="0"/>
        </w:numPr>
        <w:kinsoku/>
        <w:wordWrap/>
        <w:overflowPunct/>
        <w:topLinePunct w:val="0"/>
        <w:autoSpaceDE/>
        <w:autoSpaceDN/>
        <w:bidi w:val="0"/>
        <w:snapToGrid w:val="0"/>
        <w:ind w:leftChars="200"/>
        <w:jc w:val="both"/>
        <w:textAlignment w:val="auto"/>
        <w:rPr>
          <w:rFonts w:hint="default" w:asciiTheme="minorAscii" w:hAnsiTheme="minorAscii" w:eastAsiaTheme="minorEastAsia" w:cstheme="minorEastAsia"/>
          <w:b/>
          <w:bCs/>
          <w:spacing w:val="0"/>
          <w:sz w:val="24"/>
          <w:szCs w:val="24"/>
        </w:rPr>
      </w:pPr>
      <w:r>
        <w:rPr>
          <w:rFonts w:hint="default" w:asciiTheme="minorAscii" w:hAnsiTheme="minorAscii" w:eastAsiaTheme="minorEastAsia" w:cstheme="minorEastAsia"/>
          <w:b/>
          <w:bCs/>
          <w:spacing w:val="0"/>
          <w:sz w:val="24"/>
          <w:szCs w:val="24"/>
          <w:lang w:val="en-US" w:eastAsia="zh-CN"/>
        </w:rPr>
        <w:t>1）</w:t>
      </w:r>
      <w:r>
        <w:rPr>
          <w:rFonts w:hint="default" w:asciiTheme="minorAscii" w:hAnsiTheme="minorAscii" w:eastAsiaTheme="minorEastAsia" w:cstheme="minorEastAsia"/>
          <w:b/>
          <w:bCs/>
          <w:spacing w:val="0"/>
          <w:sz w:val="24"/>
          <w:szCs w:val="24"/>
        </w:rPr>
        <w:t>供电要求</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电源质量应满足下列要求：</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稳态电压偏移不大于±2％；</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稳态频率偏移不大于±0.2Hz；</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电压波形畸变率不大于5％；</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允许断电持续时间为0～4ms；</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当</w:t>
      </w:r>
      <w:r>
        <w:rPr>
          <w:rFonts w:hint="default" w:asciiTheme="minorAscii" w:hAnsiTheme="minorAscii" w:eastAsiaTheme="minorEastAsia" w:cstheme="minorEastAsia"/>
          <w:spacing w:val="-6"/>
          <w:sz w:val="24"/>
          <w:szCs w:val="24"/>
        </w:rPr>
        <w:t>不能满足上述要求时，应采用稳频稳压、不间断电源供电或备用发电等措施。</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电缆的额定电压大于等于电网的额定电压。</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按发热条件选择电缆截面：Iyx≥Ijs</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式中：Iyx—电缆芯线安全载流量，Ijs—通过电缆的计算电流（A）</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当数根电缆敷设在地中或管中，其安全载流量除了要乘温度校正系数外，还应乘以并列在地中的工作电缆校正系数。</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温度校正系数：根据导体的额定温度和实际周围空气温度选择不同校正系数。</w:t>
      </w:r>
    </w:p>
    <w:p>
      <w:pPr>
        <w:pStyle w:val="22"/>
        <w:keepNext w:val="0"/>
        <w:keepLines w:val="0"/>
        <w:pageBreakBefore w:val="0"/>
        <w:kinsoku/>
        <w:wordWrap/>
        <w:overflowPunct/>
        <w:topLinePunct w:val="0"/>
        <w:autoSpaceDE/>
        <w:autoSpaceDN/>
        <w:bidi w:val="0"/>
        <w:snapToGrid w:val="0"/>
        <w:ind w:left="0" w:firstLine="480" w:firstLineChars="200"/>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工作电缆校正系数：根据电缆之间的距离和电缆的数目选择不同校正系数。</w:t>
      </w:r>
    </w:p>
    <w:p>
      <w:pPr>
        <w:pStyle w:val="22"/>
        <w:keepNext w:val="0"/>
        <w:keepLines w:val="0"/>
        <w:pageBreakBefore w:val="0"/>
        <w:widowControl/>
        <w:numPr>
          <w:ilvl w:val="0"/>
          <w:numId w:val="0"/>
        </w:numPr>
        <w:kinsoku/>
        <w:wordWrap/>
        <w:overflowPunct/>
        <w:topLinePunct w:val="0"/>
        <w:autoSpaceDE/>
        <w:autoSpaceDN/>
        <w:bidi w:val="0"/>
        <w:adjustRightInd w:val="0"/>
        <w:snapToGrid w:val="0"/>
        <w:ind w:leftChars="0" w:firstLine="481" w:firstLineChars="200"/>
        <w:jc w:val="both"/>
        <w:textAlignment w:val="auto"/>
        <w:rPr>
          <w:rFonts w:hint="default" w:asciiTheme="minorAscii" w:hAnsiTheme="minorAscii" w:eastAsiaTheme="minorEastAsia" w:cstheme="minorEastAsia"/>
          <w:b/>
          <w:bCs/>
          <w:spacing w:val="0"/>
          <w:sz w:val="24"/>
          <w:szCs w:val="24"/>
        </w:rPr>
      </w:pPr>
      <w:r>
        <w:rPr>
          <w:rFonts w:hint="default" w:asciiTheme="minorAscii" w:hAnsiTheme="minorAscii" w:eastAsiaTheme="minorEastAsia" w:cstheme="minorEastAsia"/>
          <w:b/>
          <w:bCs/>
          <w:spacing w:val="0"/>
          <w:sz w:val="24"/>
          <w:szCs w:val="24"/>
          <w:lang w:val="en-US" w:eastAsia="zh-CN"/>
        </w:rPr>
        <w:t xml:space="preserve">2） </w:t>
      </w:r>
      <w:r>
        <w:rPr>
          <w:rFonts w:hint="default" w:asciiTheme="minorAscii" w:hAnsiTheme="minorAscii" w:eastAsiaTheme="minorEastAsia" w:cstheme="minorEastAsia"/>
          <w:b/>
          <w:bCs/>
          <w:spacing w:val="0"/>
          <w:sz w:val="24"/>
          <w:szCs w:val="24"/>
        </w:rPr>
        <w:t>供电方式</w:t>
      </w:r>
    </w:p>
    <w:p>
      <w:pPr>
        <w:pStyle w:val="22"/>
        <w:keepNext w:val="0"/>
        <w:keepLines w:val="0"/>
        <w:pageBreakBefore w:val="0"/>
        <w:widowControl/>
        <w:kinsoku/>
        <w:wordWrap/>
        <w:overflowPunct/>
        <w:topLinePunct w:val="0"/>
        <w:autoSpaceDE/>
        <w:autoSpaceDN/>
        <w:bidi w:val="0"/>
        <w:adjustRightInd w:val="0"/>
        <w:snapToGrid w:val="0"/>
        <w:ind w:left="0" w:firstLine="480" w:firstLineChars="200"/>
        <w:jc w:val="both"/>
        <w:textAlignment w:val="auto"/>
        <w:rPr>
          <w:rFonts w:hint="default" w:asciiTheme="minorAscii" w:hAnsiTheme="minorAscii" w:eastAsiaTheme="minorEastAsia" w:cstheme="minorEastAsia"/>
          <w:spacing w:val="0"/>
          <w:sz w:val="24"/>
          <w:szCs w:val="24"/>
          <w:lang w:eastAsia="zh-CN"/>
        </w:rPr>
      </w:pPr>
      <w:r>
        <w:rPr>
          <w:rFonts w:hint="default" w:asciiTheme="minorAscii" w:hAnsiTheme="minorAscii" w:eastAsiaTheme="minorEastAsia" w:cstheme="minorEastAsia"/>
          <w:spacing w:val="0"/>
          <w:sz w:val="24"/>
          <w:szCs w:val="24"/>
        </w:rPr>
        <w:t>系统</w:t>
      </w:r>
      <w:r>
        <w:rPr>
          <w:rFonts w:hint="default" w:asciiTheme="minorAscii" w:hAnsiTheme="minorAscii" w:eastAsiaTheme="minorEastAsia" w:cstheme="minorEastAsia"/>
          <w:spacing w:val="-6"/>
          <w:sz w:val="24"/>
          <w:szCs w:val="24"/>
        </w:rPr>
        <w:t>采用</w:t>
      </w:r>
      <w:r>
        <w:rPr>
          <w:rFonts w:hint="default" w:asciiTheme="minorAscii" w:hAnsiTheme="minorAscii" w:eastAsiaTheme="minorEastAsia" w:cstheme="minorEastAsia"/>
          <w:spacing w:val="-6"/>
          <w:sz w:val="24"/>
          <w:szCs w:val="24"/>
          <w:lang w:val="en-US" w:eastAsia="zh-CN"/>
        </w:rPr>
        <w:t>分散式</w:t>
      </w:r>
      <w:r>
        <w:rPr>
          <w:rFonts w:hint="default" w:asciiTheme="minorAscii" w:hAnsiTheme="minorAscii" w:eastAsiaTheme="minorEastAsia" w:cstheme="minorEastAsia"/>
          <w:spacing w:val="-6"/>
          <w:sz w:val="24"/>
          <w:szCs w:val="24"/>
        </w:rPr>
        <w:t>供电方式</w:t>
      </w:r>
      <w:r>
        <w:rPr>
          <w:rFonts w:hint="default" w:asciiTheme="minorAscii" w:hAnsiTheme="minorAscii" w:eastAsiaTheme="minorEastAsia" w:cstheme="minorEastAsia"/>
          <w:spacing w:val="-6"/>
          <w:sz w:val="24"/>
          <w:szCs w:val="24"/>
          <w:lang w:eastAsia="zh-CN"/>
        </w:rPr>
        <w:t>，</w:t>
      </w:r>
      <w:r>
        <w:rPr>
          <w:rFonts w:hint="default" w:asciiTheme="minorAscii" w:hAnsiTheme="minorAscii" w:eastAsiaTheme="minorEastAsia" w:cstheme="minorEastAsia"/>
          <w:spacing w:val="-6"/>
          <w:sz w:val="24"/>
          <w:szCs w:val="24"/>
          <w:lang w:val="en-US" w:eastAsia="zh-CN"/>
        </w:rPr>
        <w:t>每套前端设备独立配置永磁磁悬浮发电机、光伏板组件及储能设备</w:t>
      </w:r>
      <w:r>
        <w:rPr>
          <w:rFonts w:hint="default" w:asciiTheme="minorAscii" w:hAnsiTheme="minorAscii" w:eastAsiaTheme="minorEastAsia" w:cstheme="minorEastAsia"/>
          <w:spacing w:val="-6"/>
          <w:sz w:val="24"/>
          <w:szCs w:val="24"/>
        </w:rPr>
        <w:t>。光伏板</w:t>
      </w:r>
      <w:r>
        <w:rPr>
          <w:rFonts w:hint="default" w:asciiTheme="minorAscii" w:hAnsiTheme="minorAscii" w:eastAsiaTheme="minorEastAsia" w:cstheme="minorEastAsia"/>
          <w:spacing w:val="-6"/>
          <w:sz w:val="24"/>
          <w:szCs w:val="24"/>
          <w:lang w:val="en-US" w:eastAsia="zh-CN"/>
        </w:rPr>
        <w:t>组件采用单面</w:t>
      </w:r>
      <w:r>
        <w:rPr>
          <w:rFonts w:hint="default" w:asciiTheme="minorAscii" w:hAnsiTheme="minorAscii" w:eastAsiaTheme="minorEastAsia" w:cstheme="minorEastAsia"/>
          <w:spacing w:val="-6"/>
          <w:sz w:val="24"/>
          <w:szCs w:val="24"/>
        </w:rPr>
        <w:t>光伏板分段式安装结构，</w:t>
      </w:r>
      <w:r>
        <w:rPr>
          <w:rFonts w:hint="default" w:asciiTheme="minorAscii" w:hAnsiTheme="minorAscii" w:eastAsiaTheme="minorEastAsia" w:cstheme="minorEastAsia"/>
          <w:spacing w:val="-6"/>
          <w:sz w:val="24"/>
          <w:szCs w:val="24"/>
          <w:lang w:val="en-US" w:eastAsia="zh-CN"/>
        </w:rPr>
        <w:t>安装于立杆表面，立杆</w:t>
      </w:r>
      <w:r>
        <w:rPr>
          <w:rFonts w:hint="default" w:asciiTheme="minorAscii" w:hAnsiTheme="minorAscii" w:eastAsiaTheme="minorEastAsia" w:cstheme="minorEastAsia"/>
          <w:spacing w:val="-6"/>
          <w:sz w:val="24"/>
          <w:szCs w:val="24"/>
        </w:rPr>
        <w:t>底部</w:t>
      </w:r>
      <w:r>
        <w:rPr>
          <w:rFonts w:hint="default" w:asciiTheme="minorAscii" w:hAnsiTheme="minorAscii" w:eastAsiaTheme="minorEastAsia" w:cstheme="minorEastAsia"/>
          <w:spacing w:val="-6"/>
          <w:sz w:val="24"/>
          <w:szCs w:val="24"/>
          <w:lang w:val="en-US" w:eastAsia="zh-CN"/>
        </w:rPr>
        <w:t>至</w:t>
      </w:r>
      <w:r>
        <w:rPr>
          <w:rFonts w:hint="default" w:asciiTheme="minorAscii" w:hAnsiTheme="minorAscii" w:eastAsiaTheme="minorEastAsia" w:cstheme="minorEastAsia"/>
          <w:spacing w:val="-6"/>
          <w:sz w:val="24"/>
          <w:szCs w:val="24"/>
        </w:rPr>
        <w:t>1</w:t>
      </w:r>
      <w:r>
        <w:rPr>
          <w:rFonts w:hint="default" w:asciiTheme="minorAscii" w:hAnsiTheme="minorAscii" w:eastAsiaTheme="minorEastAsia" w:cstheme="minorEastAsia"/>
          <w:spacing w:val="-6"/>
          <w:sz w:val="24"/>
          <w:szCs w:val="24"/>
          <w:lang w:val="en-US" w:eastAsia="zh-CN"/>
        </w:rPr>
        <w:t>3</w:t>
      </w:r>
      <w:r>
        <w:rPr>
          <w:rFonts w:hint="default" w:asciiTheme="minorAscii" w:hAnsiTheme="minorAscii" w:eastAsiaTheme="minorEastAsia" w:cstheme="minorEastAsia"/>
          <w:spacing w:val="-6"/>
          <w:sz w:val="24"/>
          <w:szCs w:val="24"/>
        </w:rPr>
        <w:t>0</w:t>
      </w:r>
      <w:r>
        <w:rPr>
          <w:rFonts w:hint="default" w:asciiTheme="minorAscii" w:hAnsiTheme="minorAscii" w:eastAsiaTheme="minorEastAsia" w:cstheme="minorEastAsia"/>
          <w:spacing w:val="-6"/>
          <w:sz w:val="24"/>
          <w:szCs w:val="24"/>
          <w:lang w:val="en-US" w:eastAsia="zh-CN"/>
        </w:rPr>
        <w:t>0mm高度为光伏组件</w:t>
      </w:r>
      <w:r>
        <w:rPr>
          <w:rFonts w:hint="default" w:asciiTheme="minorAscii" w:hAnsiTheme="minorAscii" w:eastAsiaTheme="minorEastAsia" w:cstheme="minorEastAsia"/>
          <w:spacing w:val="-6"/>
          <w:sz w:val="24"/>
          <w:szCs w:val="24"/>
        </w:rPr>
        <w:t>基座，</w:t>
      </w:r>
      <w:r>
        <w:rPr>
          <w:rFonts w:hint="default" w:asciiTheme="minorAscii" w:hAnsiTheme="minorAscii" w:eastAsiaTheme="minorEastAsia" w:cstheme="minorEastAsia"/>
          <w:spacing w:val="-6"/>
          <w:sz w:val="24"/>
          <w:szCs w:val="24"/>
          <w:lang w:val="en-US" w:eastAsia="zh-CN"/>
        </w:rPr>
        <w:t>8.5米立杆上</w:t>
      </w:r>
      <w:r>
        <w:rPr>
          <w:rFonts w:hint="default" w:asciiTheme="minorAscii" w:hAnsiTheme="minorAscii" w:eastAsiaTheme="minorEastAsia" w:cstheme="minorEastAsia"/>
          <w:spacing w:val="-6"/>
          <w:sz w:val="24"/>
          <w:szCs w:val="24"/>
        </w:rPr>
        <w:t>部</w:t>
      </w:r>
      <w:r>
        <w:rPr>
          <w:rFonts w:hint="default" w:asciiTheme="minorAscii" w:hAnsiTheme="minorAscii" w:eastAsiaTheme="minorEastAsia" w:cstheme="minorEastAsia"/>
          <w:spacing w:val="-6"/>
          <w:sz w:val="24"/>
          <w:szCs w:val="24"/>
          <w:lang w:val="en-US" w:eastAsia="zh-CN"/>
        </w:rPr>
        <w:t>安装6段</w:t>
      </w:r>
      <w:r>
        <w:rPr>
          <w:rFonts w:hint="default" w:asciiTheme="minorAscii" w:hAnsiTheme="minorAscii" w:eastAsiaTheme="minorEastAsia" w:cstheme="minorEastAsia"/>
          <w:spacing w:val="-6"/>
          <w:sz w:val="24"/>
          <w:szCs w:val="24"/>
        </w:rPr>
        <w:t>光伏板组件，</w:t>
      </w:r>
      <w:r>
        <w:rPr>
          <w:rFonts w:hint="default" w:asciiTheme="minorAscii" w:hAnsiTheme="minorAscii" w:eastAsiaTheme="minorEastAsia" w:cstheme="minorEastAsia"/>
          <w:spacing w:val="-6"/>
          <w:sz w:val="24"/>
          <w:szCs w:val="24"/>
          <w:lang w:val="en-US" w:eastAsia="zh-CN"/>
        </w:rPr>
        <w:t>每段光伏板4节，</w:t>
      </w:r>
      <w:r>
        <w:rPr>
          <w:rFonts w:hint="default" w:asciiTheme="minorAscii" w:hAnsiTheme="minorAscii" w:eastAsiaTheme="minorEastAsia" w:cstheme="minorEastAsia"/>
          <w:spacing w:val="-6"/>
          <w:sz w:val="24"/>
          <w:szCs w:val="24"/>
        </w:rPr>
        <w:t>光伏板单节尺寸1160*200*4.5mm，功率不低于6V45W，表面材质</w:t>
      </w:r>
      <w:r>
        <w:rPr>
          <w:rFonts w:hint="default" w:asciiTheme="minorAscii" w:hAnsiTheme="minorAscii" w:eastAsiaTheme="minorEastAsia" w:cstheme="minorEastAsia"/>
          <w:spacing w:val="-6"/>
          <w:sz w:val="24"/>
          <w:szCs w:val="24"/>
          <w:lang w:val="en-US" w:eastAsia="zh-CN"/>
        </w:rPr>
        <w:t>采用</w:t>
      </w:r>
      <w:r>
        <w:rPr>
          <w:rFonts w:hint="default" w:asciiTheme="minorAscii" w:hAnsiTheme="minorAscii" w:eastAsiaTheme="minorEastAsia" w:cstheme="minorEastAsia"/>
          <w:spacing w:val="-6"/>
          <w:sz w:val="24"/>
          <w:szCs w:val="24"/>
        </w:rPr>
        <w:t>单晶硅；额定总功率</w:t>
      </w:r>
      <w:r>
        <w:rPr>
          <w:rFonts w:hint="default" w:asciiTheme="minorAscii" w:hAnsiTheme="minorAscii" w:eastAsiaTheme="minorEastAsia" w:cstheme="minorEastAsia"/>
          <w:spacing w:val="-6"/>
          <w:sz w:val="24"/>
          <w:szCs w:val="24"/>
          <w:lang w:val="en-US" w:eastAsia="zh-CN"/>
        </w:rPr>
        <w:t>不低于1080</w:t>
      </w:r>
      <w:r>
        <w:rPr>
          <w:rFonts w:hint="default" w:asciiTheme="minorAscii" w:hAnsiTheme="minorAscii" w:eastAsiaTheme="minorEastAsia" w:cstheme="minorEastAsia"/>
          <w:spacing w:val="-6"/>
          <w:sz w:val="24"/>
          <w:szCs w:val="24"/>
        </w:rPr>
        <w:t>W。</w:t>
      </w:r>
      <w:r>
        <w:rPr>
          <w:rFonts w:hint="default" w:asciiTheme="minorAscii" w:hAnsiTheme="minorAscii" w:eastAsiaTheme="minorEastAsia" w:cstheme="minorEastAsia"/>
          <w:spacing w:val="-6"/>
          <w:sz w:val="24"/>
          <w:szCs w:val="24"/>
          <w:lang w:val="en-US" w:eastAsia="zh-CN"/>
        </w:rPr>
        <w:t>立杆基础旁安装落地式</w:t>
      </w:r>
      <w:r>
        <w:rPr>
          <w:rFonts w:hint="default" w:asciiTheme="minorAscii" w:hAnsiTheme="minorAscii" w:eastAsiaTheme="minorEastAsia" w:cstheme="minorEastAsia"/>
          <w:spacing w:val="-6"/>
          <w:sz w:val="24"/>
          <w:szCs w:val="24"/>
        </w:rPr>
        <w:t>一体储能机箱，标称电压51.2V，标称容量≥200Ah，额定能量≥10.24KWh，磷酸铁锂电芯（LFP），循环寿命不低于3000次，支持并联最多16组，放电工作温度-20℃～60℃</w:t>
      </w:r>
      <w:r>
        <w:rPr>
          <w:rFonts w:hint="default" w:asciiTheme="minorAscii" w:hAnsiTheme="minorAscii" w:eastAsiaTheme="minorEastAsia" w:cstheme="minorEastAsia"/>
          <w:spacing w:val="0"/>
          <w:sz w:val="24"/>
          <w:szCs w:val="24"/>
          <w:lang w:eastAsia="zh-CN"/>
        </w:rPr>
        <w:t>。</w:t>
      </w:r>
    </w:p>
    <w:p>
      <w:pPr>
        <w:pStyle w:val="7"/>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离网风力和太阳能光伏发电系统</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离网风力和太阳能光伏发电系统（即小型风光发电站）是由风机叶片、永磁磁悬浮发电机、太阳能电池组件、充放电控制器、蓄电池组及离网逆变器等设备组成的独立供电系统。其通过风机叶片、永磁磁悬浮发电机把风力转化为电能；通过半导体光电效应将光能转化为电能，光照条件下由光伏组件发电并存储至蓄电池，无光照时通过逆变器转换为交流电供电。该系统无需燃料且无污染排放，并借助风力与太阳能的互补性规避单一方式存在发电间歇性的问题。系统设计需综合考虑风力、光照强度、负载功率及蓄电池容量，其设备选型与系统设计应考虑以下因素：</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Ⅰ. 什么是离网风光互补系统</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顾名思义，它是一个将风力发电机和太阳能光伏板结合起来的独立发电系统。两种能源互为补充，通过一套控制系统为负载供电，并将多余的电能储存到蓄电池中，以备无风无光时使用。</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Ⅱ. 系统构成</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val="0"/>
          <w:bCs w:val="0"/>
          <w:sz w:val="24"/>
          <w:szCs w:val="24"/>
          <w:lang w:val="en-US" w:eastAsia="zh-CN"/>
        </w:rPr>
        <w:t>一个完整的离网风光互补系统主要由以下部分组成：</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1）发电单元</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val="0"/>
          <w:bCs w:val="0"/>
          <w:sz w:val="24"/>
          <w:szCs w:val="24"/>
          <w:lang w:val="en-US" w:eastAsia="zh-CN"/>
        </w:rPr>
      </w:pPr>
      <w:r>
        <w:rPr>
          <w:rFonts w:hint="default" w:asciiTheme="minorAscii" w:hAnsiTheme="minorAscii" w:eastAsiaTheme="minorEastAsia" w:cstheme="minorEastAsia"/>
          <w:b w:val="0"/>
          <w:bCs w:val="0"/>
          <w:sz w:val="24"/>
          <w:szCs w:val="24"/>
          <w:lang w:val="en-US" w:eastAsia="zh-CN"/>
        </w:rPr>
        <w:t>太阳能光伏阵列： 由多块太阳能板串联或并联而成，负责在白天、日照充足时将光能转化为电能。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val="0"/>
          <w:bCs w:val="0"/>
          <w:sz w:val="24"/>
          <w:szCs w:val="24"/>
          <w:lang w:val="en-US" w:eastAsia="zh-CN"/>
        </w:rPr>
      </w:pPr>
      <w:r>
        <w:rPr>
          <w:rFonts w:hint="default" w:asciiTheme="minorAscii" w:hAnsiTheme="minorAscii" w:eastAsiaTheme="minorEastAsia" w:cstheme="minorEastAsia"/>
          <w:b w:val="0"/>
          <w:bCs w:val="0"/>
          <w:sz w:val="24"/>
          <w:szCs w:val="24"/>
          <w:lang w:val="en-US" w:eastAsia="zh-CN"/>
        </w:rPr>
        <w:t>风力发电机： 通常为垂直轴或水平轴风机，负责在有风时（尤其是夜间、阴雨天）将风能转化为电能。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2）能量储存单元</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蓄电池组： 系统的“能量仓库”，储存风力和大阳能发出的多余电能，在无风无光时释放给负载使用。常用的是深循环铅酸电池或更先进、寿命更长的锂离子电池（尤其是磷酸铁锂电池）。</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3）控制与管理单元</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风光互补控制器： 这是系统的“大脑”，它有两个关键作用：</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①整流与稳压： 将风力发电机发出的不稳定的交流电整流成直流电，并将太阳能板发出的直流电，一同调整为适合给蓄电池充电的电压。</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②智能管理： 根据蓄电池的电压状态，智能地分配或切断风力、太阳能对电池的充电，防止过充和过放，极大延长电池寿命。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逆变器： 负责将蓄电池中的直流电转换成负载所需的交流电。</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4）负载</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本项目的负载包括水质、流量和水位监测站的各类设备，以及前端各类感知设备和监控摄像机。</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Ⅲ. 工作原理与流程</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其工作流程可以概括为以下几个状态：</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风光俱佳时： 风力发电机和太阳能板同时发电，共同为负载供电，并将富余的电能存入蓄电池。</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有风无光时（夜晚、阴雨天）： 风力发电机作为主力发电，为负载供电并为电池充电。</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有光无风时（晴朗白天）： 太阳能板作为主力发电，为负载供电并为电池充电。</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无风无光时： 蓄电池组作为唯一能量来源，通过逆变器为负载供电。</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电池充满时： 控制器会切断或降低充电电流，保护电池。</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电池电量过低时： 控制器会切断负载输出，防止电池过放损坏，直到电池被再次充电到一定电压。</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Ⅳ. 优势与特点</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1）能源互补性强：</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太阳能： 白天强，夜间为零；夏季强，冬季弱。</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风能： 通常夜间和冬季风况较好，可以弥补太阳能的空白期。</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结合后： 大大平滑了全年的总发电量曲线，显著提高了系统供电的稳定性和可靠性。</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2）减少蓄电池配置：</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由于能源互补，连续阴雨无风的天数会减少，因此可以适当减少蓄电池的容量，降低系统初始投资和后期更换成本。</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3）更高资源利用率：</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在相同的场地条件下，可以同时利用风能和太阳能两种资源，提高了土地/空间的使用效率。</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4）适用于更广泛的地理区域：</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无论是在风资源好的沿海、草原，还是在太阳能资源好的高原、沙漠，或者两者都适中的地区，风光互补系统都能找到用武之地。</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Ⅴ. 站点发电设备额定功率配置</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1）一体化风光储能柱（10m）</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w:t>
      </w:r>
      <w:r>
        <w:rPr>
          <w:rFonts w:hint="default" w:asciiTheme="minorAscii" w:hAnsiTheme="minorAscii" w:eastAsiaTheme="minorEastAsia" w:cstheme="minorEastAsia"/>
          <w:spacing w:val="-6"/>
          <w:sz w:val="24"/>
          <w:szCs w:val="24"/>
          <w:lang w:val="en-US" w:eastAsia="zh-CN"/>
        </w:rPr>
        <w:t>0米高度一体化风光储能柱的发电单元包括：永磁磁悬浮发电机和太阳能光伏板，永磁磁悬浮发电机的额定功率为400W；太阳能光伏板的总功率为1080W。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2）一体化风光储能柱（8.5m）</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8.</w:t>
      </w:r>
      <w:r>
        <w:rPr>
          <w:rFonts w:hint="default" w:asciiTheme="minorAscii" w:hAnsiTheme="minorAscii" w:eastAsiaTheme="minorEastAsia" w:cstheme="minorEastAsia"/>
          <w:spacing w:val="-6"/>
          <w:sz w:val="24"/>
          <w:szCs w:val="24"/>
          <w:lang w:val="en-US" w:eastAsia="zh-CN"/>
        </w:rPr>
        <w:t>5米高度一体化风光储能柱的发电单元包括：永磁磁悬浮发电机和太阳能光伏板，永磁磁悬浮发电机的额定功率为400W；太阳能光伏板的总功率为1080W。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3）一体化光储能柱（6.4m）</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6.4米高度一体化光储能柱的发电单元为太阳能光伏板，其总功率为720W。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以上三种储能柱的储能功率均为10.24KW。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Ⅵ. 站点供电能力测算</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项目前端监测台站、监控点位功耗分别是：</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1）固定七参水质监测站满载功耗为1.736kW；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2）雷达流量监测站满载功耗为1.14kW，ADCP流量监测站满载功耗为1.692kW；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3）车辆感知、流量分析点位满载功耗为1.356kW；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4）800万像素全景感知摄像视频监控应用点位满载功耗为1.5kW；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5）水位监测点位满载功耗为0.372kW；热成像双光谱中载云台摄像视频监控应用点位满载功耗为2.316kW。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u w:val="wave"/>
          <w:lang w:val="en-US" w:eastAsia="zh-CN"/>
        </w:rPr>
        <w:t>结合台站（点位）额定功率（即：风力发电机功率400W，启动风速3m/s、额定风速11m/s，光伏板总功率1080W），以本项目所在地四川广元白龙湖风景名胜区冬季平均5级风和日均光照时间2.5h为应用环境参数</w:t>
      </w:r>
      <w:r>
        <w:rPr>
          <w:rFonts w:hint="default" w:asciiTheme="minorAscii" w:hAnsiTheme="minorAscii" w:eastAsiaTheme="minorEastAsia" w:cstheme="minorEastAsia"/>
          <w:sz w:val="24"/>
          <w:szCs w:val="24"/>
          <w:lang w:val="en-US" w:eastAsia="zh-CN"/>
        </w:rPr>
        <w:t>，来计算日发电量。下面是详细计算过程：</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1）已知条件：</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风力发电机： 额定功率 400W，启动风速 2m/s，额定风速 11m/s。</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光伏板： 峰值功率 1080W。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地点与季节： 广元冬季。</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气象条件： 平均5级风，日均日照时间 2.5小时。</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2）光伏发电部分估算：</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光伏日发电量有一个基本的估算公式：</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日发电量 = 组件峰值功率 × 日均有效日照时数 × 系统综合效率</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组件峰值功率： 1080 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日均有效日照时数： 2.5 小时（这个数据已考虑冬季太阳高度角低、云量等因素，可以视为“峰值日照时数”）</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系统综合效率： 对于离网系统，需要考虑逆变器效率（如果使用）、控制器效率、线损、灰尘遮挡、温度影响等。冬季温度低对光伏板效率有正面影响，但灰尘和角度是负面影响。我们取一个保守且合理的经验值 0.75。</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pacing w:val="-6"/>
          <w:sz w:val="24"/>
          <w:szCs w:val="24"/>
          <w:lang w:val="en-US" w:eastAsia="zh-CN"/>
        </w:rPr>
      </w:pPr>
      <w:r>
        <w:rPr>
          <w:rFonts w:hint="default" w:asciiTheme="minorAscii" w:hAnsiTheme="minorAscii" w:eastAsiaTheme="minorEastAsia" w:cstheme="minorEastAsia"/>
          <w:sz w:val="24"/>
          <w:szCs w:val="24"/>
          <w:lang w:val="en-US" w:eastAsia="zh-CN"/>
        </w:rPr>
        <w:t>计</w:t>
      </w:r>
      <w:r>
        <w:rPr>
          <w:rFonts w:hint="default" w:asciiTheme="minorAscii" w:hAnsiTheme="minorAscii" w:eastAsiaTheme="minorEastAsia" w:cstheme="minorEastAsia"/>
          <w:spacing w:val="-6"/>
          <w:sz w:val="24"/>
          <w:szCs w:val="24"/>
          <w:lang w:val="en-US" w:eastAsia="zh-CN"/>
        </w:rPr>
        <w:t xml:space="preserve">算：光伏日发电量=1080W×2.5h×0.75 </w:t>
      </w:r>
    </w:p>
    <w:p>
      <w:pPr>
        <w:keepNext w:val="0"/>
        <w:keepLines w:val="0"/>
        <w:pageBreakBefore w:val="0"/>
        <w:widowControl w:val="0"/>
        <w:kinsoku/>
        <w:wordWrap/>
        <w:overflowPunct/>
        <w:topLinePunct w:val="0"/>
        <w:autoSpaceDE/>
        <w:autoSpaceDN/>
        <w:bidi w:val="0"/>
        <w:adjustRightInd w:val="0"/>
        <w:snapToGrid w:val="0"/>
        <w:ind w:left="0" w:leftChars="0" w:firstLine="2551" w:firstLineChars="1119"/>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pacing w:val="-6"/>
          <w:sz w:val="24"/>
          <w:szCs w:val="24"/>
          <w:lang w:val="en-US" w:eastAsia="zh-CN"/>
        </w:rPr>
        <w:t>=2025Wh，即2.025kWh，约2度电。</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3）风力发电部分估算</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风力发电的估算比光伏复杂，因为风速是瞬息万变的，而且风机功率与风速是立方关系。5级风是一个范围，我们需要将其转换为平均风速并进行合理推测。</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5级风（清风）： 根据蒲福风级表，5级风的风速范围是 8.0 ~ 10.7 m/s。我们取一个中间偏下的值 9 m/s 作为“平均风速”来进行估算。</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关键风速点分析：</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启动风速（2 m/s）： 低于此速度不发电。</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额定风速（11 m/s）： 达到此速度时达到最大功率400W。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我们的平均风速（9 m/s）： 低于额定风速，风机并未满功率运行。</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功率估算： 风机的输出功率与风速的立方成正比。这是一个简化模型，但可用于估算。</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在额定风速 11 m/s 时，功率为 400W。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那么在平均风速 9 m/s 时，其输出功率大约为：</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P_avg ≈ P_rated × (V_avg / V_rated)³</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 xml:space="preserve">P_avg ≈ 400W × (9 / 11)³ </w:t>
      </w:r>
    </w:p>
    <w:p>
      <w:pPr>
        <w:keepNext w:val="0"/>
        <w:keepLines w:val="0"/>
        <w:pageBreakBefore w:val="0"/>
        <w:widowControl w:val="0"/>
        <w:kinsoku/>
        <w:wordWrap/>
        <w:overflowPunct/>
        <w:topLinePunct w:val="0"/>
        <w:autoSpaceDE/>
        <w:autoSpaceDN/>
        <w:bidi w:val="0"/>
        <w:adjustRightInd w:val="0"/>
        <w:snapToGrid w:val="0"/>
        <w:ind w:left="0" w:leftChars="0" w:firstLine="1260" w:firstLineChars="52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 xml:space="preserve">≈ 400W × (0.818)³ </w:t>
      </w:r>
    </w:p>
    <w:p>
      <w:pPr>
        <w:keepNext w:val="0"/>
        <w:keepLines w:val="0"/>
        <w:pageBreakBefore w:val="0"/>
        <w:widowControl w:val="0"/>
        <w:kinsoku/>
        <w:wordWrap/>
        <w:overflowPunct/>
        <w:topLinePunct w:val="0"/>
        <w:autoSpaceDE/>
        <w:autoSpaceDN/>
        <w:bidi w:val="0"/>
        <w:adjustRightInd w:val="0"/>
        <w:snapToGrid w:val="0"/>
        <w:ind w:left="0" w:leftChars="0" w:firstLine="1260" w:firstLineChars="52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 xml:space="preserve">≈ 400W × 0.547 </w:t>
      </w:r>
    </w:p>
    <w:p>
      <w:pPr>
        <w:keepNext w:val="0"/>
        <w:keepLines w:val="0"/>
        <w:pageBreakBefore w:val="0"/>
        <w:widowControl w:val="0"/>
        <w:kinsoku/>
        <w:wordWrap/>
        <w:overflowPunct/>
        <w:topLinePunct w:val="0"/>
        <w:autoSpaceDE/>
        <w:autoSpaceDN/>
        <w:bidi w:val="0"/>
        <w:adjustRightInd w:val="0"/>
        <w:snapToGrid w:val="0"/>
        <w:ind w:left="0" w:leftChars="0" w:firstLine="1260" w:firstLineChars="52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 219 W</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这意味着，在平均9 m/s的风速下，风机大约以 219W 的功率输出。</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日发电量计算：</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通常这种风速条件在一天内是间歇性出现的，但为了估算，这里假设每天有6-8小时的有效发电时间（风不是一直稳定在5级），计算时取 7小时。</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计算：风力日发电量=219W×7h=1533Wh，即1.533kWh，约1.5度电。</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4）总日发电量估算</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现在将光伏和风力发电两部分加起来：</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总日发电量=光伏发电量+风力发电量</w:t>
      </w:r>
    </w:p>
    <w:p>
      <w:pPr>
        <w:keepNext w:val="0"/>
        <w:keepLines w:val="0"/>
        <w:pageBreakBefore w:val="0"/>
        <w:widowControl w:val="0"/>
        <w:kinsoku/>
        <w:wordWrap/>
        <w:overflowPunct/>
        <w:topLinePunct w:val="0"/>
        <w:autoSpaceDE/>
        <w:autoSpaceDN/>
        <w:bidi w:val="0"/>
        <w:adjustRightInd w:val="0"/>
        <w:snapToGrid w:val="0"/>
        <w:ind w:firstLine="1680" w:firstLineChars="7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 xml:space="preserve">= 2.025 kWh + 1.533 kWh </w:t>
      </w:r>
    </w:p>
    <w:p>
      <w:pPr>
        <w:keepNext w:val="0"/>
        <w:keepLines w:val="0"/>
        <w:pageBreakBefore w:val="0"/>
        <w:widowControl w:val="0"/>
        <w:kinsoku/>
        <w:wordWrap/>
        <w:overflowPunct/>
        <w:topLinePunct w:val="0"/>
        <w:autoSpaceDE/>
        <w:autoSpaceDN/>
        <w:bidi w:val="0"/>
        <w:adjustRightInd w:val="0"/>
        <w:snapToGrid w:val="0"/>
        <w:ind w:firstLine="1680" w:firstLineChars="7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 3.558 kWh</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结论：</w:t>
      </w:r>
      <w:r>
        <w:rPr>
          <w:rFonts w:hint="default" w:asciiTheme="minorAscii" w:hAnsiTheme="minorAscii" w:eastAsiaTheme="minorEastAsia" w:cstheme="minorEastAsia"/>
          <w:sz w:val="24"/>
          <w:szCs w:val="24"/>
          <w:u w:val="wave"/>
          <w:lang w:val="en-US" w:eastAsia="zh-CN"/>
        </w:rPr>
        <w:t>在广元冬季平均5级风和日均2.5小时日照的条件下，这套1080W光伏 + 400W风力发电系统，预计每日可发电约 3.5 ～ 3.8 度电</w:t>
      </w:r>
      <w:r>
        <w:rPr>
          <w:rFonts w:hint="default" w:asciiTheme="minorAscii" w:hAnsiTheme="minorAscii" w:eastAsia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通过上述计算，可以得知：即使是在冬季日均2.5小时日照条件下给本项目所建监测台站（监控点位）供电的发电系统发电量均能持续满足点位设备运行所需的电能，何况每个站点还有10.24kW储能作后备电源。</w:t>
      </w:r>
    </w:p>
    <w:p>
      <w:pPr>
        <w:pStyle w:val="4"/>
        <w:keepNext/>
        <w:keepLines/>
        <w:pageBreakBefore w:val="0"/>
        <w:widowControl w:val="0"/>
        <w:kinsoku/>
        <w:wordWrap/>
        <w:overflowPunct/>
        <w:topLinePunct w:val="0"/>
        <w:autoSpaceDE/>
        <w:autoSpaceDN/>
        <w:bidi w:val="0"/>
        <w:adjustRightInd/>
        <w:snapToGrid w:val="0"/>
        <w:spacing w:before="333" w:beforeLines="100" w:after="156" w:line="300" w:lineRule="exact"/>
        <w:textAlignment w:val="auto"/>
        <w:rPr>
          <w:rFonts w:hint="default" w:asciiTheme="minorAscii" w:hAnsiTheme="minorAscii" w:eastAsiaTheme="minorEastAsia" w:cstheme="minorEastAsia"/>
          <w:sz w:val="24"/>
          <w:szCs w:val="24"/>
          <w:lang w:val="en-US" w:eastAsia="zh-CN"/>
        </w:rPr>
      </w:pPr>
      <w:bookmarkStart w:id="21" w:name="_Toc11704"/>
      <w:r>
        <w:rPr>
          <w:rFonts w:hint="default" w:asciiTheme="minorAscii" w:hAnsiTheme="minorAscii" w:eastAsiaTheme="minorEastAsia" w:cstheme="minorEastAsia"/>
          <w:sz w:val="24"/>
          <w:szCs w:val="24"/>
          <w:lang w:val="en-US" w:eastAsia="zh-CN"/>
        </w:rPr>
        <w:t xml:space="preserve">应急指挥中心基础设施建设 </w:t>
      </w:r>
      <w:r>
        <w:rPr>
          <w:rFonts w:hint="default" w:asciiTheme="minorAscii" w:hAnsiTheme="minorAscii" w:eastAsiaTheme="minorEastAsia" w:cstheme="minorEastAsia"/>
          <w:sz w:val="24"/>
          <w:szCs w:val="24"/>
          <w:vertAlign w:val="subscript"/>
          <w:lang w:val="en-US" w:eastAsia="zh-CN"/>
        </w:rPr>
        <w:t>注2</w:t>
      </w:r>
      <w:bookmarkEnd w:id="21"/>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b/>
      </w: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rPr>
        <w:t>白龙湖风景名胜区作为2004年国务院公布的第五批国家级风景名胜区，</w:t>
      </w:r>
      <w:r>
        <w:rPr>
          <w:rFonts w:hint="default" w:asciiTheme="minorAscii" w:hAnsiTheme="minorAscii" w:eastAsiaTheme="minorEastAsia" w:cstheme="minorEastAsia"/>
          <w:sz w:val="24"/>
          <w:szCs w:val="24"/>
          <w:lang w:val="en-US" w:eastAsia="zh-CN"/>
        </w:rPr>
        <w:t>全域横跨</w:t>
      </w:r>
      <w:r>
        <w:rPr>
          <w:rFonts w:hint="default" w:asciiTheme="minorAscii" w:hAnsiTheme="minorAscii" w:eastAsiaTheme="minorEastAsia" w:cstheme="minorEastAsia"/>
          <w:sz w:val="24"/>
          <w:szCs w:val="24"/>
        </w:rPr>
        <w:t>广元市利州、青川</w:t>
      </w:r>
      <w:r>
        <w:rPr>
          <w:rFonts w:hint="default" w:asciiTheme="minorAscii" w:hAnsiTheme="minorAscii" w:eastAsiaTheme="minorEastAsia" w:cstheme="minorEastAsia"/>
          <w:sz w:val="24"/>
          <w:szCs w:val="24"/>
          <w:lang w:val="en-US" w:eastAsia="zh-CN"/>
        </w:rPr>
        <w:t>两个区县</w:t>
      </w:r>
      <w:r>
        <w:rPr>
          <w:rFonts w:hint="default" w:asciiTheme="minorAscii" w:hAnsiTheme="minorAscii" w:eastAsiaTheme="minorEastAsia" w:cstheme="minorEastAsia"/>
          <w:sz w:val="24"/>
          <w:szCs w:val="24"/>
        </w:rPr>
        <w:t>，水域广阔、地形复杂、游客密集。</w:t>
      </w:r>
      <w:r>
        <w:rPr>
          <w:rFonts w:hint="default" w:asciiTheme="minorAscii" w:hAnsiTheme="minorAscii" w:eastAsiaTheme="minorEastAsia" w:cstheme="minorEastAsia"/>
          <w:sz w:val="24"/>
          <w:szCs w:val="24"/>
          <w:lang w:val="en-US" w:eastAsia="zh-CN"/>
        </w:rPr>
        <w:t>而广元市白龙湖风景名胜区管理局不仅领导利州局、青川发展中心管理保护白龙湖、还指导</w:t>
      </w:r>
      <w:r>
        <w:rPr>
          <w:rFonts w:hint="default" w:asciiTheme="minorAscii" w:hAnsiTheme="minorAscii" w:eastAsiaTheme="minorEastAsia" w:cstheme="minorEastAsia"/>
          <w:sz w:val="24"/>
          <w:szCs w:val="24"/>
        </w:rPr>
        <w:t>昭化、剑阁、苍溪</w:t>
      </w:r>
      <w:r>
        <w:rPr>
          <w:rFonts w:hint="default" w:asciiTheme="minorAscii" w:hAnsiTheme="minorAscii" w:eastAsiaTheme="minorEastAsia" w:cstheme="minorEastAsia"/>
          <w:sz w:val="24"/>
          <w:szCs w:val="24"/>
          <w:lang w:val="en-US" w:eastAsia="zh-CN"/>
        </w:rPr>
        <w:t>三</w:t>
      </w:r>
      <w:r>
        <w:rPr>
          <w:rFonts w:hint="default" w:asciiTheme="minorAscii" w:hAnsiTheme="minorAscii" w:eastAsiaTheme="minorEastAsia" w:cstheme="minorEastAsia"/>
          <w:sz w:val="24"/>
          <w:szCs w:val="24"/>
        </w:rPr>
        <w:t>县（区）</w:t>
      </w:r>
      <w:r>
        <w:rPr>
          <w:rFonts w:hint="default" w:asciiTheme="minorAscii" w:hAnsiTheme="minorAscii" w:eastAsiaTheme="minorEastAsia" w:cstheme="minorEastAsia"/>
          <w:sz w:val="24"/>
          <w:szCs w:val="24"/>
          <w:lang w:val="en-US" w:eastAsia="zh-CN"/>
        </w:rPr>
        <w:t>管理亭子湖。</w:t>
      </w:r>
      <w:r>
        <w:rPr>
          <w:rFonts w:hint="default" w:asciiTheme="minorAscii" w:hAnsiTheme="minorAscii" w:eastAsiaTheme="minorEastAsia" w:cstheme="minorEastAsia"/>
          <w:sz w:val="24"/>
          <w:szCs w:val="24"/>
        </w:rPr>
        <w:t>为提升应急响应能力</w:t>
      </w:r>
      <w:r>
        <w:rPr>
          <w:rFonts w:hint="default" w:asciiTheme="minorAscii" w:hAnsiTheme="minorAscii" w:eastAsiaTheme="minorEastAsia" w:cstheme="minorEastAsia"/>
          <w:sz w:val="24"/>
          <w:szCs w:val="24"/>
          <w:lang w:val="en-US" w:eastAsia="zh-CN"/>
        </w:rPr>
        <w:t>和指挥调度效率</w:t>
      </w:r>
      <w:r>
        <w:rPr>
          <w:rFonts w:hint="default" w:asciiTheme="minorAscii" w:hAnsiTheme="minorAscii" w:eastAsiaTheme="minorEastAsia" w:cstheme="minorEastAsia"/>
          <w:sz w:val="24"/>
          <w:szCs w:val="24"/>
        </w:rPr>
        <w:t>，需构建“协同管控、统一指挥、反应灵敏、上下联动、平战结合”的</w:t>
      </w:r>
      <w:r>
        <w:rPr>
          <w:rFonts w:hint="default" w:asciiTheme="minorAscii" w:hAnsiTheme="minorAscii" w:eastAsiaTheme="minorEastAsia" w:cstheme="minorEastAsia"/>
          <w:sz w:val="24"/>
          <w:szCs w:val="24"/>
          <w:lang w:val="en-US" w:eastAsia="zh-CN"/>
        </w:rPr>
        <w:t>融合通信指挥调度平台</w:t>
      </w:r>
      <w:r>
        <w:rPr>
          <w:rFonts w:hint="default" w:asciiTheme="minorAscii" w:hAnsiTheme="minorAscii" w:eastAsiaTheme="minorEastAsia" w:cstheme="minorEastAsia"/>
          <w:sz w:val="24"/>
          <w:szCs w:val="24"/>
        </w:rPr>
        <w:t>，提供统一接入、融合交换和应用服务</w:t>
      </w:r>
      <w:r>
        <w:rPr>
          <w:rFonts w:hint="default" w:asciiTheme="minorAscii" w:hAnsiTheme="minorAscii"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依托</w:t>
      </w:r>
      <w:r>
        <w:rPr>
          <w:rFonts w:hint="default" w:asciiTheme="minorAscii" w:hAnsiTheme="minorAscii" w:eastAsiaTheme="minorEastAsia" w:cstheme="minorEastAsia"/>
          <w:sz w:val="24"/>
          <w:szCs w:val="24"/>
          <w:lang w:val="en-US" w:eastAsia="zh-CN"/>
        </w:rPr>
        <w:t>广元市白龙湖风景名胜区管理局指挥</w:t>
      </w:r>
      <w:r>
        <w:rPr>
          <w:rFonts w:hint="default" w:asciiTheme="minorAscii" w:hAnsiTheme="minorAscii" w:eastAsiaTheme="minorEastAsia" w:cstheme="minorEastAsia"/>
          <w:sz w:val="24"/>
          <w:szCs w:val="24"/>
        </w:rPr>
        <w:t>中心，建设</w:t>
      </w:r>
      <w:r>
        <w:rPr>
          <w:rFonts w:hint="default" w:asciiTheme="minorAscii" w:hAnsiTheme="minorAscii" w:eastAsiaTheme="minorEastAsia" w:cstheme="minorEastAsia"/>
          <w:sz w:val="24"/>
          <w:szCs w:val="24"/>
          <w:lang w:val="en-US" w:eastAsia="zh-CN"/>
        </w:rPr>
        <w:t>全市</w:t>
      </w:r>
      <w:r>
        <w:rPr>
          <w:rFonts w:hint="default" w:asciiTheme="minorAscii" w:hAnsiTheme="minorAscii" w:eastAsiaTheme="minorEastAsia" w:cstheme="minorEastAsia"/>
          <w:sz w:val="24"/>
          <w:szCs w:val="24"/>
        </w:rPr>
        <w:t>统一的显示系统、视频会商、值班座席系统、融合通信系统等，实现市、</w:t>
      </w:r>
      <w:r>
        <w:rPr>
          <w:rFonts w:hint="default" w:asciiTheme="minorAscii" w:hAnsiTheme="minorAscii" w:eastAsiaTheme="minorEastAsia" w:cstheme="minorEastAsia"/>
          <w:sz w:val="24"/>
          <w:szCs w:val="24"/>
          <w:lang w:val="en-US" w:eastAsia="zh-CN"/>
        </w:rPr>
        <w:t>县两级</w:t>
      </w:r>
      <w:r>
        <w:rPr>
          <w:rFonts w:hint="default" w:asciiTheme="minorAscii" w:hAnsiTheme="minorAscii" w:eastAsiaTheme="minorEastAsia" w:cstheme="minorEastAsia"/>
          <w:sz w:val="24"/>
          <w:szCs w:val="24"/>
        </w:rPr>
        <w:t>互联，打造一个</w:t>
      </w:r>
      <w:r>
        <w:rPr>
          <w:rFonts w:hint="default" w:asciiTheme="minorAscii" w:hAnsiTheme="minorAscii" w:eastAsiaTheme="minorEastAsia" w:cstheme="minorEastAsia"/>
          <w:sz w:val="24"/>
          <w:szCs w:val="24"/>
          <w:lang w:val="en-US" w:eastAsia="zh-CN"/>
        </w:rPr>
        <w:t>统一的</w:t>
      </w:r>
      <w:r>
        <w:rPr>
          <w:rFonts w:hint="default" w:asciiTheme="minorAscii" w:hAnsiTheme="minorAscii" w:eastAsiaTheme="minorEastAsia" w:cstheme="minorEastAsia"/>
          <w:sz w:val="24"/>
          <w:szCs w:val="24"/>
        </w:rPr>
        <w:t>综合性应用的</w:t>
      </w:r>
      <w:r>
        <w:rPr>
          <w:rFonts w:hint="default" w:asciiTheme="minorAscii" w:hAnsiTheme="minorAscii" w:eastAsiaTheme="minorEastAsia" w:cstheme="minorEastAsia"/>
          <w:sz w:val="24"/>
          <w:szCs w:val="24"/>
          <w:lang w:val="en-US" w:eastAsia="zh-CN"/>
        </w:rPr>
        <w:t>指挥</w:t>
      </w:r>
      <w:r>
        <w:rPr>
          <w:rFonts w:hint="default" w:asciiTheme="minorAscii" w:hAnsiTheme="minorAscii" w:eastAsiaTheme="minorEastAsia" w:cstheme="minorEastAsia"/>
          <w:sz w:val="24"/>
          <w:szCs w:val="24"/>
        </w:rPr>
        <w:t>中心，为跨部门事件处置、情报研判、指挥调度、领导决策等</w:t>
      </w:r>
      <w:r>
        <w:rPr>
          <w:rFonts w:hint="default" w:asciiTheme="minorAscii" w:hAnsiTheme="minorAscii" w:eastAsiaTheme="minorEastAsia" w:cstheme="minorEastAsia"/>
          <w:sz w:val="24"/>
          <w:szCs w:val="24"/>
          <w:lang w:val="en-US" w:eastAsia="zh-CN"/>
        </w:rPr>
        <w:t>管理</w:t>
      </w:r>
      <w:r>
        <w:rPr>
          <w:rFonts w:hint="default" w:asciiTheme="minorAscii" w:hAnsiTheme="minorAscii" w:eastAsiaTheme="minorEastAsia" w:cstheme="minorEastAsia"/>
          <w:sz w:val="24"/>
          <w:szCs w:val="24"/>
        </w:rPr>
        <w:t>应用提供支撑，创造全新的指挥调度业务场景体验</w:t>
      </w:r>
      <w:r>
        <w:rPr>
          <w:rFonts w:hint="default" w:asciiTheme="minorAscii" w:hAnsiTheme="minorAscii"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300" w:lineRule="exact"/>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本项目在广元市白龙湖风景名胜区管理局设置市局总指挥中心，在沙洲设置副指挥中心，在利州局、青川发展中心设置指挥分中心，在昭化、剑阁、苍溪设置指挥室，构建市、县联动指挥体系。</w:t>
      </w:r>
    </w:p>
    <w:p>
      <w:pPr>
        <w:keepNext w:val="0"/>
        <w:keepLines w:val="0"/>
        <w:pageBreakBefore w:val="0"/>
        <w:widowControl w:val="0"/>
        <w:kinsoku/>
        <w:wordWrap/>
        <w:overflowPunct/>
        <w:topLinePunct w:val="0"/>
        <w:autoSpaceDE/>
        <w:autoSpaceDN/>
        <w:bidi w:val="0"/>
        <w:adjustRightInd w:val="0"/>
        <w:snapToGrid/>
        <w:spacing w:line="300" w:lineRule="exact"/>
        <w:ind w:left="0" w:leftChars="0" w:firstLine="481"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注2：</w:t>
      </w:r>
      <w:r>
        <w:rPr>
          <w:rFonts w:hint="default" w:asciiTheme="minorAscii" w:hAnsiTheme="minorAscii" w:eastAsiaTheme="minorEastAsia" w:cstheme="minorEastAsia"/>
          <w:b/>
          <w:bCs/>
          <w:sz w:val="24"/>
          <w:szCs w:val="24"/>
          <w:u w:val="wave"/>
          <w:lang w:val="en-US" w:eastAsia="zh-CN"/>
        </w:rPr>
        <w:t>应急指挥中心至少应能调度广元市白龙湖风景名胜区管理局所属各级各部门，融合通信相关系统应分别部署到市中心、区县分中心和协作点。但鉴于前期申报时只有沙州应急指挥中心少量建设内容，其他大多数相关设备设施尚未纳入可研报告建设内容中，为避免可研发生较大的变更，设计方案出于完整性考虑，保留市中心、利州分中心、青川分中心、协作点建设的相关描述，但主要内容不再列入“广元白龙湖风景名胜区三水一体协同管控体系建设项目”分部分项工程量清单，不占项目工程建设费用。相关描述保留，可为项目后续建设提供技术参考。</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场所布局</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市局中心场所布局</w:t>
      </w:r>
    </w:p>
    <w:p>
      <w:pPr>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于</w:t>
      </w:r>
      <w:r>
        <w:rPr>
          <w:rFonts w:hint="default" w:asciiTheme="minorAscii" w:hAnsiTheme="minorAscii" w:eastAsiaTheme="minorEastAsia" w:cstheme="minorEastAsia"/>
          <w:sz w:val="24"/>
          <w:szCs w:val="24"/>
          <w:lang w:val="en-US" w:eastAsia="zh-CN"/>
        </w:rPr>
        <w:t>广元市白龙湖风景名胜区管理局</w:t>
      </w:r>
      <w:r>
        <w:rPr>
          <w:rFonts w:hint="default" w:asciiTheme="minorAscii" w:hAnsiTheme="minorAscii" w:eastAsiaTheme="minorEastAsia" w:cstheme="minorEastAsia"/>
          <w:color w:val="000000" w:themeColor="text1"/>
          <w:sz w:val="24"/>
          <w:szCs w:val="24"/>
          <w14:textFill>
            <w14:solidFill>
              <w14:schemeClr w14:val="tx1"/>
            </w14:solidFill>
          </w14:textFill>
        </w:rPr>
        <w:t>设立</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市局总</w:t>
      </w:r>
      <w:r>
        <w:rPr>
          <w:rFonts w:hint="default" w:asciiTheme="minorAscii" w:hAnsiTheme="minorAscii" w:eastAsiaTheme="minorEastAsia" w:cstheme="minorEastAsia"/>
          <w:color w:val="000000" w:themeColor="text1"/>
          <w:sz w:val="24"/>
          <w:szCs w:val="24"/>
          <w14:textFill>
            <w14:solidFill>
              <w14:schemeClr w14:val="tx1"/>
            </w14:solidFill>
          </w14:textFill>
        </w:rPr>
        <w:t>指挥中心</w:t>
      </w:r>
      <w:r>
        <w:rPr>
          <w:rFonts w:hint="default" w:asciiTheme="minorAscii" w:hAnsiTheme="minorAscii" w:eastAsiaTheme="minorEastAsia" w:cstheme="minorEastAsia"/>
          <w:color w:val="000000" w:themeColor="text1"/>
          <w:spacing w:val="-9"/>
          <w:sz w:val="24"/>
          <w:szCs w:val="24"/>
          <w14:textFill>
            <w14:solidFill>
              <w14:schemeClr w14:val="tx1"/>
            </w14:solidFill>
          </w14:textFill>
        </w:rPr>
        <w:t>，</w:t>
      </w:r>
      <w:r>
        <w:rPr>
          <w:rFonts w:hint="default" w:asciiTheme="minorAscii" w:hAnsiTheme="minorAscii" w:eastAsiaTheme="minorEastAsia" w:cstheme="minorEastAsia"/>
          <w:color w:val="000000" w:themeColor="text1"/>
          <w:spacing w:val="-13"/>
          <w:sz w:val="24"/>
          <w:szCs w:val="24"/>
          <w14:textFill>
            <w14:solidFill>
              <w14:schemeClr w14:val="tx1"/>
            </w14:solidFill>
          </w14:textFill>
        </w:rPr>
        <w:t>面积约</w:t>
      </w:r>
      <w:r>
        <w:rPr>
          <w:rFonts w:hint="default" w:asciiTheme="minorAscii" w:hAnsiTheme="minorAscii" w:eastAsiaTheme="minorEastAsia" w:cstheme="minorEastAsia"/>
          <w:color w:val="000000" w:themeColor="text1"/>
          <w:spacing w:val="-13"/>
          <w:sz w:val="24"/>
          <w:szCs w:val="24"/>
          <w:lang w:val="en-US" w:eastAsia="zh-CN"/>
          <w14:textFill>
            <w14:solidFill>
              <w14:schemeClr w14:val="tx1"/>
            </w14:solidFill>
          </w14:textFill>
        </w:rPr>
        <w:t>50</w:t>
      </w:r>
      <w:r>
        <w:rPr>
          <w:rFonts w:hint="default" w:asciiTheme="minorAscii" w:hAnsiTheme="minorAscii" w:eastAsiaTheme="minorEastAsia" w:cstheme="minorEastAsia"/>
          <w:color w:val="000000" w:themeColor="text1"/>
          <w:spacing w:val="-4"/>
          <w:sz w:val="24"/>
          <w:szCs w:val="24"/>
          <w14:textFill>
            <w14:solidFill>
              <w14:schemeClr w14:val="tx1"/>
            </w14:solidFill>
          </w14:textFill>
        </w:rPr>
        <w:t>㎡，根据现场建设环境布局设计</w:t>
      </w:r>
      <w:r>
        <w:rPr>
          <w:rFonts w:hint="default" w:asciiTheme="minorAscii" w:hAnsiTheme="minorAscii" w:eastAsiaTheme="minorEastAsia" w:cstheme="minorEastAsia"/>
          <w:color w:val="000000" w:themeColor="text1"/>
          <w:sz w:val="24"/>
          <w:szCs w:val="24"/>
          <w14:textFill>
            <w14:solidFill>
              <w14:schemeClr w14:val="tx1"/>
            </w14:solidFill>
          </w14:textFill>
        </w:rPr>
        <w:t>如下所示：</w:t>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4796155" cy="5010785"/>
            <wp:effectExtent l="0" t="0" r="4445" b="3175"/>
            <wp:docPr id="1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8"/>
                    <pic:cNvPicPr>
                      <a:picLocks noChangeAspect="1"/>
                    </pic:cNvPicPr>
                  </pic:nvPicPr>
                  <pic:blipFill>
                    <a:blip r:embed="rId34"/>
                    <a:stretch>
                      <a:fillRect/>
                    </a:stretch>
                  </pic:blipFill>
                  <pic:spPr>
                    <a:xfrm>
                      <a:off x="0" y="0"/>
                      <a:ext cx="4796155" cy="5010785"/>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图26 市局总指挥中心研判（暨指挥调度）室平面布置图</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Ⅰ. 家具布置</w:t>
      </w:r>
    </w:p>
    <w:p>
      <w:pPr>
        <w:keepNext w:val="0"/>
        <w:keepLines w:val="0"/>
        <w:pageBreakBefore w:val="0"/>
        <w:widowControl w:val="0"/>
        <w:numPr>
          <w:ilvl w:val="0"/>
          <w:numId w:val="0"/>
        </w:numPr>
        <w:kinsoku/>
        <w:wordWrap/>
        <w:overflowPunct/>
        <w:topLinePunct w:val="0"/>
        <w:autoSpaceDE/>
        <w:autoSpaceDN/>
        <w:bidi w:val="0"/>
        <w:spacing w:line="300" w:lineRule="exact"/>
        <w:ind w:firstLine="42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总指挥中心设置1套</w:t>
      </w:r>
      <w:r>
        <w:rPr>
          <w:rFonts w:hint="default" w:asciiTheme="minorAscii" w:hAnsiTheme="minorAscii" w:eastAsiaTheme="minorEastAsia" w:cstheme="minorEastAsia"/>
          <w:sz w:val="24"/>
          <w:szCs w:val="24"/>
        </w:rPr>
        <w:t>大型全实木长条会议桌（定制）</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30把实木会议椅，6张实木会议桌（1.4m）+1张实木会议桌（1.0m），1个会议用品储藏柜，1套三联操作台（定制，规格1800*700*750mm）。</w:t>
      </w:r>
    </w:p>
    <w:p>
      <w:pPr>
        <w:keepNext w:val="0"/>
        <w:keepLines w:val="0"/>
        <w:pageBreakBefore w:val="0"/>
        <w:widowControl w:val="0"/>
        <w:numPr>
          <w:ilvl w:val="0"/>
          <w:numId w:val="26"/>
        </w:numPr>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rPr>
        <w:t>大型全实木长条会议桌（定制）</w:t>
      </w:r>
      <w:r>
        <w:rPr>
          <w:rFonts w:hint="default" w:asciiTheme="minorAscii" w:hAnsiTheme="minorAscii" w:eastAsiaTheme="minorEastAsia" w:cstheme="minorEastAsia"/>
          <w:sz w:val="24"/>
          <w:szCs w:val="24"/>
          <w:lang w:eastAsia="zh-CN"/>
        </w:rPr>
        <w:t>：采用全实木定制加工，表面喷油漆；规格5.6米*1.6米*0.75米，两侧各8人位、前后各1人位，</w:t>
      </w:r>
      <w:r>
        <w:rPr>
          <w:rFonts w:hint="default" w:asciiTheme="minorAscii" w:hAnsiTheme="minorAscii" w:eastAsiaTheme="minorEastAsia" w:cstheme="minorEastAsia"/>
          <w:sz w:val="24"/>
          <w:szCs w:val="24"/>
          <w:lang w:val="en-US" w:eastAsia="zh-CN"/>
        </w:rPr>
        <w:t>需</w:t>
      </w:r>
      <w:r>
        <w:rPr>
          <w:rFonts w:hint="default" w:asciiTheme="minorAscii" w:hAnsiTheme="minorAscii" w:eastAsiaTheme="minorEastAsia" w:cstheme="minorEastAsia"/>
          <w:sz w:val="24"/>
          <w:szCs w:val="24"/>
          <w:lang w:eastAsia="zh-CN"/>
        </w:rPr>
        <w:t>嵌入升降显示器。</w:t>
      </w:r>
    </w:p>
    <w:p>
      <w:pPr>
        <w:keepNext w:val="0"/>
        <w:keepLines w:val="0"/>
        <w:pageBreakBefore w:val="0"/>
        <w:widowControl w:val="0"/>
        <w:numPr>
          <w:ilvl w:val="0"/>
          <w:numId w:val="26"/>
        </w:numPr>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lang w:eastAsia="zh-CN"/>
        </w:rPr>
        <w:t>实木会议椅：采用原木定制加工，曲木脚，椅架、固定扶手表面烤漆工艺，面料选用头层牛皮；座椅宽度≤655mm。</w:t>
      </w:r>
    </w:p>
    <w:p>
      <w:pPr>
        <w:keepNext w:val="0"/>
        <w:keepLines w:val="0"/>
        <w:pageBreakBefore w:val="0"/>
        <w:widowControl w:val="0"/>
        <w:numPr>
          <w:ilvl w:val="0"/>
          <w:numId w:val="26"/>
        </w:numPr>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lang w:eastAsia="zh-CN"/>
        </w:rPr>
        <w:t>实木会议桌（1.</w:t>
      </w:r>
      <w:r>
        <w:rPr>
          <w:rFonts w:hint="default" w:asciiTheme="minorAscii" w:hAnsiTheme="minorAscii" w:eastAsiaTheme="minorEastAsia" w:cstheme="minorEastAsia"/>
          <w:sz w:val="24"/>
          <w:szCs w:val="24"/>
          <w:lang w:val="en-US" w:eastAsia="zh-CN"/>
        </w:rPr>
        <w:t>4</w:t>
      </w:r>
      <w:r>
        <w:rPr>
          <w:rFonts w:hint="default" w:asciiTheme="minorAscii" w:hAnsiTheme="minorAscii" w:eastAsiaTheme="minorEastAsia" w:cstheme="minorEastAsia"/>
          <w:sz w:val="24"/>
          <w:szCs w:val="24"/>
          <w:lang w:eastAsia="zh-CN"/>
        </w:rPr>
        <w:t>m）：框架材质采用中密度纤维板，表面烤漆工艺；规格≥1400*400*750mm，桌面厚度≥40mm。</w:t>
      </w:r>
    </w:p>
    <w:p>
      <w:pPr>
        <w:keepNext w:val="0"/>
        <w:keepLines w:val="0"/>
        <w:pageBreakBefore w:val="0"/>
        <w:widowControl w:val="0"/>
        <w:numPr>
          <w:ilvl w:val="0"/>
          <w:numId w:val="26"/>
        </w:numPr>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lang w:eastAsia="zh-CN"/>
        </w:rPr>
        <w:t>会议用品储藏柜： 简约风格，主材达到或优于橡胶木，成品规格≥1600*720*400mm。</w:t>
      </w:r>
    </w:p>
    <w:p>
      <w:pPr>
        <w:keepNext w:val="0"/>
        <w:keepLines w:val="0"/>
        <w:pageBreakBefore w:val="0"/>
        <w:widowControl w:val="0"/>
        <w:numPr>
          <w:ilvl w:val="0"/>
          <w:numId w:val="26"/>
        </w:numPr>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lang w:eastAsia="zh-CN"/>
        </w:rPr>
        <w:t>三联操作台（定制）：整体式结构，规格≥</w:t>
      </w:r>
      <w:r>
        <w:rPr>
          <w:rFonts w:hint="default" w:asciiTheme="minorAscii" w:hAnsiTheme="minorAscii" w:eastAsiaTheme="minorEastAsia" w:cstheme="minorEastAsia"/>
          <w:sz w:val="24"/>
          <w:szCs w:val="24"/>
          <w:lang w:val="en-US" w:eastAsia="zh-CN"/>
        </w:rPr>
        <w:t>18</w:t>
      </w:r>
      <w:r>
        <w:rPr>
          <w:rFonts w:hint="default" w:asciiTheme="minorAscii" w:hAnsiTheme="minorAscii" w:eastAsiaTheme="minorEastAsia" w:cstheme="minorEastAsia"/>
          <w:sz w:val="24"/>
          <w:szCs w:val="24"/>
          <w:lang w:eastAsia="zh-CN"/>
        </w:rPr>
        <w:t>00*700*750mm；采用1.2～2.0mmSPCC钢板冲压成型，静电喷涂工艺，耐酸碱、抗腐蚀、防静电；台面下配推拉式键盘抽屉3组，预留进出线孔位；柜体下部标配可调节层板、预留进出线孔位；外观需与指挥中心整体风格和谐统一。</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eastAsia="zh-CN"/>
        </w:rPr>
        <w:t>Ⅱ</w:t>
      </w:r>
      <w:r>
        <w:rPr>
          <w:rFonts w:hint="default" w:asciiTheme="minorAscii" w:hAnsiTheme="minorAscii" w:eastAsiaTheme="minorEastAsia" w:cstheme="minorEastAsia"/>
          <w:sz w:val="24"/>
          <w:szCs w:val="24"/>
          <w:lang w:val="en-US" w:eastAsia="zh-CN"/>
        </w:rPr>
        <w:t>. 空间改造</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 拆旧、封堵、清运、开荒保洁：要求拆除原有天花、地板、墙柜、窗户、门等旧物；封堵会议室前门，扩大后门尺寸至1200mm宽；走廊窗户封堵，使砖墙长度不大于3米，走廊新增一扇门，走廊端头实墙强度需支撑壁挂1.5P空调挂机；建渣清运，改造完工后开荒保洁。</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 天花、墙、地板处理：天花基层防水处理（防止楼顶雨水浸入破坏室内吊顶），花式吊顶，照明采用无主灯设计；顶面、墙面喷涂环保型乳胶漆；地面铺设实木地板；前墙LED屏以外的部分需软装；两侧立柱采用烤漆板包封；入室门采用90+30，1.2*2.1m实木子母门双开。</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 窗户采用中空玻璃6mm+27A+6mm，110铝合金断桥；走廊窗户大部分区域为固定窗，留≥600*900mm窗格上悬外开；室内两侧窗户装优质电动遮光窗帘，走廊窗户装电动铝百叶窗帘；指挥室、走廊设备间各装1个电子数显温湿度计（精度不低于0.1℃）。</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Ⅲ. 强弱电改造</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1）根据总指挥中心布局对供电线路、网络传输线路、音视频传输线路、点位进行改造。</w:t>
      </w:r>
    </w:p>
    <w:p>
      <w:pPr>
        <w:keepNext w:val="0"/>
        <w:keepLines w:val="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2）从总配电箱引入指挥中心分线箱的干线电缆规格不低于YJV4*16+1*10mm2；空调电缆不低于BV6mm2，插座电缆不低于BV4mm2，照明电缆不低于BV2.5mm2，设备电缆不低于RVV3*1.5mm2。，网线不低于STP Cat6，音响线不低于2*300芯（支）金银线，视频线须采用工程级HDMI线，全部线缆须符合国家强制性标准；除提供前述各种线缆以外，还需包含强弱电改造所需的其他各种材料。</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利州分中心场所布局</w:t>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5067300" cy="3669030"/>
            <wp:effectExtent l="0" t="0" r="7620"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5"/>
                    <a:stretch>
                      <a:fillRect/>
                    </a:stretch>
                  </pic:blipFill>
                  <pic:spPr>
                    <a:xfrm>
                      <a:off x="0" y="0"/>
                      <a:ext cx="5067300" cy="3669030"/>
                    </a:xfrm>
                    <a:prstGeom prst="rect">
                      <a:avLst/>
                    </a:prstGeom>
                  </pic:spPr>
                </pic:pic>
              </a:graphicData>
            </a:graphic>
          </wp:inline>
        </w:drawing>
      </w:r>
    </w:p>
    <w:p>
      <w:pPr>
        <w:ind w:left="0" w:leftChars="0"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lang w:val="en-US" w:eastAsia="zh-CN"/>
        </w:rPr>
        <w:t>图27 飞凤游客中心-利州分中心值班（调度）室平面布置图</w:t>
      </w:r>
    </w:p>
    <w:p>
      <w:pPr>
        <w:keepNext w:val="0"/>
        <w:keepLines w:val="0"/>
        <w:pageBreakBefore w:val="0"/>
        <w:widowControl w:val="0"/>
        <w:kinsoku/>
        <w:wordWrap/>
        <w:overflowPunct/>
        <w:topLinePunct w:val="0"/>
        <w:autoSpaceDE/>
        <w:autoSpaceDN/>
        <w:bidi w:val="0"/>
        <w:adjustRightInd w:val="0"/>
        <w:snapToGrid w:val="0"/>
        <w:spacing w:before="167" w:beforeLines="50"/>
        <w:ind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飞凤游客中心-利州分中心配备环境集中控制主机1台、电源时序器1台、电源控制器1台、音频接入网关（1路）1台、无线AP 1台。功率放大器2台、调音台1台、反馈抑制器1台、无线一拖四1套、音响4只、值班电脑2台、98″4K超薄显示屏1台、鹅颈电容值班麦1支、值班话务耳机1副、16口交换机1台、三联操作台（定制）1套、值班座椅3把、32U机柜1台。</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利州管理指调室配备会议终端1台、98″会议平板一体机1台、会议摄像机2台、会控平板1台。</w:t>
      </w:r>
    </w:p>
    <w:p>
      <w:pPr>
        <w:pStyle w:val="8"/>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沙洲副中心场所布局</w:t>
      </w:r>
    </w:p>
    <w:p>
      <w:pP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沙州副中心设置1套三联操作台（定制），配备2把值班座椅。</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三联操作台（定制）：整体式结构，规格≥2400*700*750mm；采用1.2～2.0mmSPCC钢板冲压成型，静电喷涂工艺，耐酸碱、抗腐蚀、防静电；台面下配推拉式键盘抽屉3组，预留进出线孔位；柜体下部标配可调节层板、预留进出线孔位；外观需与指挥中心整体风格和谐统一。</w:t>
      </w:r>
    </w:p>
    <w:p>
      <w:pPr>
        <w:keepNext w:val="0"/>
        <w:keepLines w:val="0"/>
        <w:pageBreakBefore w:val="0"/>
        <w:widowControl w:val="0"/>
        <w:kinsoku/>
        <w:wordWrap/>
        <w:overflowPunct/>
        <w:topLinePunct w:val="0"/>
        <w:autoSpaceDE/>
        <w:autoSpaceDN/>
        <w:bidi w:val="0"/>
        <w:adjustRightInd w:val="0"/>
        <w:snapToGrid w:val="0"/>
        <w:spacing w:after="167" w:afterLines="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值班座椅：采用人体工学电脑椅，结构包括头枕、椅背、腰靠、扶手、坐垫、金属五星脚、TUV4级气杆；头枕支持16cm升降，160°前后旋转、90°枕面旋转；椅背为腰背分离型；腰靠支持六向动捕，前后10°两档，左右/上下5cm；扶手支持360°上下/前后旋转；坐垫为网布，坐深5cm调节；后爷135°,3档锁定。</w:t>
      </w:r>
    </w:p>
    <w:p>
      <w:pPr>
        <w:ind w:left="0" w:leftChars="0" w:firstLine="0" w:firstLineChars="0"/>
        <w:jc w:val="cente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30495" cy="2253615"/>
            <wp:effectExtent l="0" t="0" r="12065" b="1905"/>
            <wp:docPr id="156" name="图片 156" descr="沙州副中心平面布置图2025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沙州副中心平面布置图20251124"/>
                    <pic:cNvPicPr>
                      <a:picLocks noChangeAspect="1"/>
                    </pic:cNvPicPr>
                  </pic:nvPicPr>
                  <pic:blipFill>
                    <a:blip r:embed="rId36"/>
                    <a:stretch>
                      <a:fillRect/>
                    </a:stretch>
                  </pic:blipFill>
                  <pic:spPr>
                    <a:xfrm>
                      <a:off x="0" y="0"/>
                      <a:ext cx="5230495" cy="2253615"/>
                    </a:xfrm>
                    <a:prstGeom prst="rect">
                      <a:avLst/>
                    </a:prstGeom>
                  </pic:spPr>
                </pic:pic>
              </a:graphicData>
            </a:graphic>
          </wp:inline>
        </w:drawing>
      </w:r>
    </w:p>
    <w:p>
      <w:pPr>
        <w:ind w:left="0" w:leftChars="0" w:firstLine="0" w:firstLineChars="0"/>
        <w:jc w:val="center"/>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图28 沙州副中心值班（调度）室布局图</w:t>
      </w:r>
    </w:p>
    <w:p>
      <w:pPr>
        <w:keepNext w:val="0"/>
        <w:keepLines w:val="0"/>
        <w:pageBreakBefore w:val="0"/>
        <w:widowControl w:val="0"/>
        <w:kinsoku/>
        <w:wordWrap/>
        <w:overflowPunct/>
        <w:topLinePunct w:val="0"/>
        <w:autoSpaceDE/>
        <w:autoSpaceDN/>
        <w:bidi w:val="0"/>
        <w:adjustRightInd w:val="0"/>
        <w:snapToGrid w:val="0"/>
        <w:spacing w:before="333" w:beforeLines="1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沙州副中心配备98″会议平板一体机1台、值班电脑1台、边缘计算主机1台、企业级硬盘（8TB）16块、16口交换机1台、32U机柜1台。</w:t>
      </w:r>
    </w:p>
    <w:p>
      <w:pPr>
        <w:pStyle w:val="8"/>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青川分中心场所布局</w:t>
      </w:r>
    </w:p>
    <w:p>
      <w:pPr>
        <w:ind w:left="0" w:leftChars="0" w:firstLine="0" w:firstLineChars="0"/>
        <w:jc w:val="center"/>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drawing>
          <wp:inline distT="0" distB="0" distL="114300" distR="114300">
            <wp:extent cx="4951095" cy="2698115"/>
            <wp:effectExtent l="0" t="0" r="1905" b="1460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7"/>
                    <a:stretch>
                      <a:fillRect/>
                    </a:stretch>
                  </pic:blipFill>
                  <pic:spPr>
                    <a:xfrm>
                      <a:off x="0" y="0"/>
                      <a:ext cx="4951095" cy="2698115"/>
                    </a:xfrm>
                    <a:prstGeom prst="rect">
                      <a:avLst/>
                    </a:prstGeom>
                  </pic:spPr>
                </pic:pic>
              </a:graphicData>
            </a:graphic>
          </wp:inline>
        </w:drawing>
      </w:r>
    </w:p>
    <w:p>
      <w:pPr>
        <w:ind w:left="0" w:leftChars="0" w:firstLine="0" w:firstLineChars="0"/>
        <w:jc w:val="center"/>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图29 幸福岛游客中心-青川分中心值班（调度）室平面布置图</w:t>
      </w:r>
    </w:p>
    <w:p>
      <w:pPr>
        <w:ind w:left="0" w:leftChars="0" w:firstLine="0" w:firstLineChars="0"/>
        <w:rPr>
          <w:rFonts w:hint="default" w:asciiTheme="minorAscii" w:hAnsiTheme="minorAscii" w:eastAsiaTheme="minorEastAsia" w:cstheme="minorEastAsia"/>
          <w:sz w:val="24"/>
          <w:szCs w:val="24"/>
          <w:lang w:val="en-US" w:eastAsia="zh-CN"/>
        </w:rPr>
      </w:pPr>
    </w:p>
    <w:p>
      <w:pPr>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青川分中心设置1套三联操作台（定制），3把值班座椅。</w:t>
      </w:r>
    </w:p>
    <w:p>
      <w:pPr>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三联操作台（定制）：整体式结构，规格≥2400*700*750mm；采用1.2～2.0mmSPCC钢板冲压成型，静电喷涂工艺，耐酸碱、抗腐蚀、防静电；台面下配推拉式键盘抽屉3组，预留进出线孔位；柜体下部标配可调节层板、预留进出线孔位；外观需与指挥中心整体风格和谐统一。</w:t>
      </w:r>
    </w:p>
    <w:p>
      <w:pPr>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值班座椅：采用原木定制加工，曲木脚，椅架、固定扶手烤漆，面料选用头层牛皮；座椅宽度≤655mm。</w:t>
      </w:r>
    </w:p>
    <w:p>
      <w:pPr>
        <w:keepNext w:val="0"/>
        <w:keepLines w:val="0"/>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幸福岛游客中心-青川分中心配备LED屏1套（市中心原有屏利旧）、环境集中控制主机1台、电源时序器1台、电源控制器1台、音频接入网关（1路）1台、无线AP 1台。功率放大器2台、调音台1台、反馈抑制器1台、无线一拖四1套、音响4只、值班电脑2台、鹅颈电容值班麦1支、值班话务耳机1副、16口交换机1台、三联操作台（定制）1套、值班座椅3把、32U机柜1台。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青川管理指调室配备会议终端1台、98″会议平板一体机1台、会议摄像机2台、会控平板1台。</w:t>
      </w:r>
    </w:p>
    <w:p>
      <w:pPr>
        <w:pStyle w:val="7"/>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基础支撑体系</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融合通信系统</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bookmarkStart w:id="22" w:name="_Toc499125963"/>
      <w:bookmarkStart w:id="23" w:name="_Toc352419848"/>
      <w:r>
        <w:rPr>
          <w:rFonts w:hint="default" w:asciiTheme="minorAscii" w:hAnsiTheme="minorAscii" w:eastAsiaTheme="minorEastAsia" w:cstheme="minorEastAsia"/>
          <w:sz w:val="24"/>
          <w:szCs w:val="24"/>
        </w:rPr>
        <w:t>设计原则和依据</w:t>
      </w:r>
      <w:bookmarkEnd w:id="22"/>
    </w:p>
    <w:p>
      <w:pPr>
        <w:pStyle w:val="23"/>
        <w:pageBreakBefore w:val="0"/>
        <w:widowControl w:val="0"/>
        <w:kinsoku/>
        <w:wordWrap/>
        <w:overflowPunct/>
        <w:topLinePunct w:val="0"/>
        <w:autoSpaceDE/>
        <w:autoSpaceDN/>
        <w:bidi w:val="0"/>
        <w:adjustRightInd w:val="0"/>
        <w:snapToGrid w:val="0"/>
        <w:spacing w:line="300" w:lineRule="exact"/>
        <w:ind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①</w:t>
      </w:r>
      <w:r>
        <w:rPr>
          <w:rFonts w:hint="default" w:asciiTheme="minorAscii" w:hAnsiTheme="minorAscii" w:eastAsiaTheme="minorEastAsia" w:cstheme="minorEastAsia"/>
          <w:b/>
          <w:bCs/>
          <w:color w:val="auto"/>
          <w:sz w:val="24"/>
          <w:szCs w:val="24"/>
          <w:lang w:val="en-US" w:eastAsia="zh-CN"/>
        </w:rPr>
        <w:t xml:space="preserve"> </w:t>
      </w:r>
      <w:r>
        <w:rPr>
          <w:rFonts w:hint="default" w:asciiTheme="minorAscii" w:hAnsiTheme="minorAscii" w:eastAsiaTheme="minorEastAsia" w:cstheme="minorEastAsia"/>
          <w:b/>
          <w:bCs/>
          <w:color w:val="auto"/>
          <w:sz w:val="24"/>
          <w:szCs w:val="24"/>
        </w:rPr>
        <w:t>先进性原则：</w:t>
      </w:r>
    </w:p>
    <w:p>
      <w:pPr>
        <w:pStyle w:val="23"/>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方案设计中，充分考虑到了需要建设的是一套</w:t>
      </w:r>
      <w:r>
        <w:rPr>
          <w:rFonts w:hint="default" w:asciiTheme="minorAscii" w:hAnsiTheme="minorAscii" w:eastAsiaTheme="minorEastAsia" w:cstheme="minorEastAsia"/>
          <w:color w:val="auto"/>
          <w:sz w:val="24"/>
          <w:szCs w:val="24"/>
          <w:lang w:val="en-US" w:eastAsia="zh-CN"/>
        </w:rPr>
        <w:t>三水一体协同管控体系</w:t>
      </w:r>
      <w:r>
        <w:rPr>
          <w:rFonts w:hint="default" w:asciiTheme="minorAscii" w:hAnsiTheme="minorAscii" w:eastAsiaTheme="minorEastAsia" w:cstheme="minorEastAsia"/>
          <w:color w:val="auto"/>
          <w:sz w:val="24"/>
          <w:szCs w:val="24"/>
        </w:rPr>
        <w:t>“</w:t>
      </w:r>
      <w:r>
        <w:rPr>
          <w:rFonts w:hint="default" w:asciiTheme="minorAscii" w:hAnsiTheme="minorAscii" w:eastAsiaTheme="minorEastAsia" w:cstheme="minorEastAsia"/>
          <w:b w:val="0"/>
          <w:bCs w:val="0"/>
          <w:color w:val="auto"/>
          <w:sz w:val="24"/>
          <w:szCs w:val="24"/>
          <w:lang w:val="en-US" w:eastAsia="zh-CN"/>
        </w:rPr>
        <w:t>指挥调度融合通信平台</w:t>
      </w:r>
      <w:r>
        <w:rPr>
          <w:rFonts w:hint="default" w:asciiTheme="minorAscii" w:hAnsiTheme="minorAscii" w:eastAsiaTheme="minorEastAsia" w:cstheme="minorEastAsia"/>
          <w:color w:val="auto"/>
          <w:sz w:val="24"/>
          <w:szCs w:val="24"/>
        </w:rPr>
        <w:t>”而不是“视频监控系统”，在充分发挥融合调度、视频监控技术优势的同时，符合日常及重大事件紧急指挥的业务需求。平台以指挥调度为主，以视频为辅。</w:t>
      </w:r>
    </w:p>
    <w:p>
      <w:pPr>
        <w:pStyle w:val="23"/>
        <w:pageBreakBefore w:val="0"/>
        <w:widowControl w:val="0"/>
        <w:kinsoku/>
        <w:wordWrap/>
        <w:overflowPunct/>
        <w:topLinePunct w:val="0"/>
        <w:autoSpaceDE/>
        <w:autoSpaceDN/>
        <w:bidi w:val="0"/>
        <w:adjustRightInd w:val="0"/>
        <w:snapToGrid w:val="0"/>
        <w:spacing w:line="300" w:lineRule="exact"/>
        <w:ind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②</w:t>
      </w:r>
      <w:r>
        <w:rPr>
          <w:rFonts w:hint="default" w:asciiTheme="minorAscii" w:hAnsiTheme="minorAscii" w:eastAsiaTheme="minorEastAsia" w:cstheme="minorEastAsia"/>
          <w:b/>
          <w:bCs/>
          <w:color w:val="auto"/>
          <w:sz w:val="24"/>
          <w:szCs w:val="24"/>
          <w:lang w:val="en-US" w:eastAsia="zh-CN"/>
        </w:rPr>
        <w:t xml:space="preserve"> </w:t>
      </w:r>
      <w:r>
        <w:rPr>
          <w:rFonts w:hint="default" w:asciiTheme="minorAscii" w:hAnsiTheme="minorAscii" w:eastAsiaTheme="minorEastAsia" w:cstheme="minorEastAsia"/>
          <w:b/>
          <w:bCs/>
          <w:color w:val="auto"/>
          <w:sz w:val="24"/>
          <w:szCs w:val="24"/>
        </w:rPr>
        <w:t>可靠性原则：</w:t>
      </w:r>
    </w:p>
    <w:p>
      <w:pPr>
        <w:pStyle w:val="23"/>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应具备高可靠性，采用诸多故障处理机制、容错机制、备份机制、以及结构化、分布式的结构提高系统的可靠性。在系统设计中采用高度集成化、模块化、标准化的设计思路。硬件、网络选择适用技术，系统配置合理，关键核心平台采用高新设备，具有备份冗余功能，系统的控制主机可选采用双机热备份来进行工作，当其中的一台主机发生故障时，另一台可以继续工作。对此，尽量使操作功能软件化，减少故障点；</w:t>
      </w:r>
      <w:r>
        <w:rPr>
          <w:rFonts w:hint="default" w:asciiTheme="minorAscii" w:hAnsiTheme="minorAscii" w:eastAsiaTheme="minorEastAsia" w:cstheme="minorEastAsia"/>
          <w:color w:val="auto"/>
          <w:sz w:val="24"/>
          <w:szCs w:val="24"/>
          <w:lang w:eastAsia="zh-CN"/>
        </w:rPr>
        <w:t>同时</w:t>
      </w:r>
      <w:r>
        <w:rPr>
          <w:rFonts w:hint="default" w:asciiTheme="minorAscii" w:hAnsiTheme="minorAscii" w:eastAsiaTheme="minorEastAsia" w:cstheme="minorEastAsia"/>
          <w:color w:val="auto"/>
          <w:sz w:val="24"/>
          <w:szCs w:val="24"/>
        </w:rPr>
        <w:t>还采用完整的备份系统和系统安全包对系统数据进行保护，把故障率降到最低点。</w:t>
      </w:r>
    </w:p>
    <w:p>
      <w:pPr>
        <w:pStyle w:val="23"/>
        <w:pageBreakBefore w:val="0"/>
        <w:widowControl w:val="0"/>
        <w:kinsoku/>
        <w:wordWrap/>
        <w:overflowPunct/>
        <w:topLinePunct w:val="0"/>
        <w:autoSpaceDE/>
        <w:autoSpaceDN/>
        <w:bidi w:val="0"/>
        <w:adjustRightInd w:val="0"/>
        <w:snapToGrid w:val="0"/>
        <w:spacing w:line="300" w:lineRule="exact"/>
        <w:ind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③</w:t>
      </w:r>
      <w:r>
        <w:rPr>
          <w:rFonts w:hint="default" w:asciiTheme="minorAscii" w:hAnsiTheme="minorAscii" w:eastAsiaTheme="minorEastAsia" w:cstheme="minorEastAsia"/>
          <w:b/>
          <w:bCs/>
          <w:color w:val="auto"/>
          <w:sz w:val="24"/>
          <w:szCs w:val="24"/>
          <w:lang w:val="en-US" w:eastAsia="zh-CN"/>
        </w:rPr>
        <w:t xml:space="preserve"> </w:t>
      </w:r>
      <w:r>
        <w:rPr>
          <w:rFonts w:hint="default" w:asciiTheme="minorAscii" w:hAnsiTheme="minorAscii" w:eastAsiaTheme="minorEastAsia" w:cstheme="minorEastAsia"/>
          <w:b/>
          <w:bCs/>
          <w:color w:val="auto"/>
          <w:sz w:val="24"/>
          <w:szCs w:val="24"/>
        </w:rPr>
        <w:t>安全性原则：</w:t>
      </w:r>
    </w:p>
    <w:p>
      <w:pPr>
        <w:pStyle w:val="23"/>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在信息共享系统中，充分利用主机、网络以及数据库管理系统提供的安全保障机制，确保整个系统的数据安全。操作人员的登录、操作有相应的登录、操作日志。传输中的数据流采用加密算法，防止数据在传输过程中被截取。同时，对系统重要数据提供可靠的备份和恢复机制，以确保整个系统的安全。</w:t>
      </w:r>
    </w:p>
    <w:p>
      <w:pPr>
        <w:pStyle w:val="23"/>
        <w:pageBreakBefore w:val="0"/>
        <w:widowControl w:val="0"/>
        <w:kinsoku/>
        <w:wordWrap/>
        <w:overflowPunct/>
        <w:topLinePunct w:val="0"/>
        <w:autoSpaceDE/>
        <w:autoSpaceDN/>
        <w:bidi w:val="0"/>
        <w:adjustRightInd w:val="0"/>
        <w:snapToGrid w:val="0"/>
        <w:spacing w:line="300" w:lineRule="exact"/>
        <w:ind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④</w:t>
      </w:r>
      <w:r>
        <w:rPr>
          <w:rFonts w:hint="default" w:asciiTheme="minorAscii" w:hAnsiTheme="minorAscii" w:eastAsiaTheme="minorEastAsia" w:cstheme="minorEastAsia"/>
          <w:b/>
          <w:bCs/>
          <w:color w:val="auto"/>
          <w:sz w:val="24"/>
          <w:szCs w:val="24"/>
          <w:lang w:val="en-US" w:eastAsia="zh-CN"/>
        </w:rPr>
        <w:t xml:space="preserve"> </w:t>
      </w:r>
      <w:r>
        <w:rPr>
          <w:rFonts w:hint="default" w:asciiTheme="minorAscii" w:hAnsiTheme="minorAscii" w:eastAsiaTheme="minorEastAsia" w:cstheme="minorEastAsia"/>
          <w:b/>
          <w:bCs/>
          <w:color w:val="auto"/>
          <w:sz w:val="24"/>
          <w:szCs w:val="24"/>
        </w:rPr>
        <w:t>经济性原则：</w:t>
      </w:r>
    </w:p>
    <w:p>
      <w:pPr>
        <w:pStyle w:val="23"/>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在满足</w:t>
      </w:r>
      <w:r>
        <w:rPr>
          <w:rFonts w:hint="default" w:asciiTheme="minorAscii" w:hAnsiTheme="minorAscii" w:eastAsiaTheme="minorEastAsia" w:cstheme="minorEastAsia"/>
          <w:color w:val="auto"/>
          <w:sz w:val="24"/>
          <w:szCs w:val="24"/>
          <w:lang w:val="en-US" w:eastAsia="zh-CN"/>
        </w:rPr>
        <w:t>白龙湖管理</w:t>
      </w:r>
      <w:r>
        <w:rPr>
          <w:rFonts w:hint="default" w:asciiTheme="minorAscii" w:hAnsiTheme="minorAscii" w:eastAsiaTheme="minorEastAsia" w:cstheme="minorEastAsia"/>
          <w:color w:val="auto"/>
          <w:sz w:val="24"/>
          <w:szCs w:val="24"/>
        </w:rPr>
        <w:t>需求，保证系统功能完善、先进、可靠的基础上，通过利用分布式网络监控系统的远程控制管理功能，尽量降低系统的成本和运行、维护费用。</w:t>
      </w:r>
    </w:p>
    <w:p>
      <w:pPr>
        <w:pStyle w:val="23"/>
        <w:pageBreakBefore w:val="0"/>
        <w:widowControl w:val="0"/>
        <w:kinsoku/>
        <w:wordWrap/>
        <w:overflowPunct/>
        <w:topLinePunct w:val="0"/>
        <w:autoSpaceDE/>
        <w:autoSpaceDN/>
        <w:bidi w:val="0"/>
        <w:adjustRightInd w:val="0"/>
        <w:snapToGrid w:val="0"/>
        <w:spacing w:line="300" w:lineRule="exact"/>
        <w:ind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⑤</w:t>
      </w:r>
      <w:r>
        <w:rPr>
          <w:rFonts w:hint="default" w:asciiTheme="minorAscii" w:hAnsiTheme="minorAscii" w:eastAsiaTheme="minorEastAsia" w:cstheme="minorEastAsia"/>
          <w:b/>
          <w:bCs/>
          <w:color w:val="auto"/>
          <w:sz w:val="24"/>
          <w:szCs w:val="24"/>
          <w:lang w:val="en-US" w:eastAsia="zh-CN"/>
        </w:rPr>
        <w:t xml:space="preserve"> </w:t>
      </w:r>
      <w:r>
        <w:rPr>
          <w:rFonts w:hint="default" w:asciiTheme="minorAscii" w:hAnsiTheme="minorAscii" w:eastAsiaTheme="minorEastAsia" w:cstheme="minorEastAsia"/>
          <w:b/>
          <w:bCs/>
          <w:color w:val="auto"/>
          <w:sz w:val="24"/>
          <w:szCs w:val="24"/>
        </w:rPr>
        <w:t>易用性原则：</w:t>
      </w:r>
    </w:p>
    <w:p>
      <w:pPr>
        <w:pStyle w:val="23"/>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系统功能强大、界面友好。软件设计人性化，易于被普通用户掌握、操作和使用。</w:t>
      </w:r>
    </w:p>
    <w:p>
      <w:pPr>
        <w:pStyle w:val="23"/>
        <w:pageBreakBefore w:val="0"/>
        <w:widowControl w:val="0"/>
        <w:kinsoku/>
        <w:wordWrap/>
        <w:overflowPunct/>
        <w:topLinePunct w:val="0"/>
        <w:autoSpaceDE/>
        <w:autoSpaceDN/>
        <w:bidi w:val="0"/>
        <w:adjustRightInd w:val="0"/>
        <w:snapToGrid w:val="0"/>
        <w:spacing w:line="300" w:lineRule="exact"/>
        <w:ind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⑥</w:t>
      </w:r>
      <w:r>
        <w:rPr>
          <w:rFonts w:hint="default" w:asciiTheme="minorAscii" w:hAnsiTheme="minorAscii" w:eastAsiaTheme="minorEastAsia" w:cstheme="minorEastAsia"/>
          <w:b/>
          <w:bCs/>
          <w:color w:val="auto"/>
          <w:sz w:val="24"/>
          <w:szCs w:val="24"/>
          <w:lang w:val="en-US" w:eastAsia="zh-CN"/>
        </w:rPr>
        <w:t xml:space="preserve"> </w:t>
      </w:r>
      <w:r>
        <w:rPr>
          <w:rFonts w:hint="default" w:asciiTheme="minorAscii" w:hAnsiTheme="minorAscii" w:eastAsiaTheme="minorEastAsia" w:cstheme="minorEastAsia"/>
          <w:b/>
          <w:bCs/>
          <w:color w:val="auto"/>
          <w:sz w:val="24"/>
          <w:szCs w:val="24"/>
        </w:rPr>
        <w:t>易维护性原则：</w:t>
      </w:r>
    </w:p>
    <w:p>
      <w:pPr>
        <w:pStyle w:val="23"/>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系统可以处于免维护工作状态，且人工维护可在远程操作。维护简单，易于管理。</w:t>
      </w:r>
    </w:p>
    <w:bookmarkEnd w:id="23"/>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bookmarkStart w:id="24" w:name="_Toc499125966"/>
      <w:bookmarkStart w:id="25" w:name="_Toc8992"/>
      <w:r>
        <w:rPr>
          <w:rFonts w:hint="default" w:asciiTheme="minorAscii" w:hAnsiTheme="minorAscii" w:eastAsiaTheme="minorEastAsia" w:cstheme="minorEastAsia"/>
          <w:sz w:val="24"/>
          <w:szCs w:val="24"/>
        </w:rPr>
        <w:t>总体设计方案</w:t>
      </w:r>
      <w:bookmarkEnd w:id="24"/>
      <w:bookmarkEnd w:id="25"/>
    </w:p>
    <w:p>
      <w:pPr>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本次设计在指挥中心部署</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融合通信平台，</w:t>
      </w:r>
      <w:r>
        <w:rPr>
          <w:rFonts w:hint="default" w:asciiTheme="minorAscii" w:hAnsiTheme="minorAscii" w:eastAsiaTheme="minorEastAsia" w:cstheme="minorEastAsia"/>
          <w:color w:val="auto"/>
          <w:sz w:val="24"/>
          <w:szCs w:val="24"/>
        </w:rPr>
        <w:t>在</w:t>
      </w:r>
      <w:r>
        <w:rPr>
          <w:rFonts w:hint="default" w:asciiTheme="minorAscii" w:hAnsiTheme="minorAscii" w:eastAsiaTheme="minorEastAsia" w:cstheme="minorEastAsia"/>
          <w:color w:val="auto"/>
          <w:sz w:val="24"/>
          <w:szCs w:val="24"/>
          <w:lang w:val="en-US" w:eastAsia="zh-CN"/>
        </w:rPr>
        <w:t>分</w:t>
      </w:r>
      <w:r>
        <w:rPr>
          <w:rFonts w:hint="default" w:asciiTheme="minorAscii" w:hAnsiTheme="minorAscii" w:eastAsiaTheme="minorEastAsia" w:cstheme="minorEastAsia"/>
          <w:color w:val="auto"/>
          <w:sz w:val="24"/>
          <w:szCs w:val="24"/>
          <w:lang w:eastAsia="zh-CN"/>
        </w:rPr>
        <w:t>中心</w:t>
      </w:r>
      <w:r>
        <w:rPr>
          <w:rFonts w:hint="default" w:asciiTheme="minorAscii" w:hAnsiTheme="minorAscii" w:eastAsiaTheme="minorEastAsia" w:cstheme="minorEastAsia"/>
          <w:color w:val="auto"/>
          <w:sz w:val="24"/>
          <w:szCs w:val="24"/>
        </w:rPr>
        <w:t>部署PC调度台等设备。</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bookmarkStart w:id="26" w:name="_Toc499125967"/>
      <w:r>
        <w:rPr>
          <w:rFonts w:hint="default" w:asciiTheme="minorAscii" w:hAnsiTheme="minorAscii" w:eastAsiaTheme="minorEastAsia" w:cstheme="minorEastAsia"/>
          <w:sz w:val="24"/>
          <w:szCs w:val="24"/>
        </w:rPr>
        <w:t>系统总体架构</w:t>
      </w:r>
      <w:bookmarkEnd w:id="26"/>
    </w:p>
    <w:p>
      <w:pPr>
        <w:pStyle w:val="23"/>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eastAsia="zh-CN"/>
        </w:rPr>
        <w:t>应急指挥融合通信平台</w:t>
      </w:r>
      <w:r>
        <w:rPr>
          <w:rFonts w:hint="default" w:asciiTheme="minorAscii" w:hAnsiTheme="minorAscii" w:eastAsiaTheme="minorEastAsia" w:cstheme="minorEastAsia"/>
          <w:color w:val="auto"/>
          <w:sz w:val="24"/>
          <w:szCs w:val="24"/>
        </w:rPr>
        <w:t>总体架构采用了先进的IMS（IP Multimedia Subsystem，即IP多媒体子系统）架构。系统结合了语音调度、视频调度以及应急业务的特点，按照用户的分级管理、指挥调度需求设计的基于IP软交换系统、视频监控系统的指挥调度系统。整体设计有利于业务扩展，便于后期技术升级及演进。</w:t>
      </w:r>
    </w:p>
    <w:p>
      <w:pPr>
        <w:pStyle w:val="10"/>
        <w:keepNext/>
        <w:keepLines/>
        <w:pageBreakBefore w:val="0"/>
        <w:widowControl w:val="0"/>
        <w:kinsoku/>
        <w:wordWrap/>
        <w:overflowPunct/>
        <w:topLinePunct w:val="0"/>
        <w:autoSpaceDE/>
        <w:autoSpaceDN/>
        <w:bidi w:val="0"/>
        <w:adjustRightInd w:val="0"/>
        <w:snapToGrid w:val="0"/>
        <w:spacing w:before="0" w:after="167" w:afterLines="50"/>
        <w:ind w:left="0" w:leftChars="0" w:firstLine="0" w:firstLineChars="0"/>
        <w:textAlignment w:val="auto"/>
        <w:rPr>
          <w:rFonts w:hint="default" w:asciiTheme="minorAscii" w:hAnsiTheme="minorAscii" w:eastAsiaTheme="minorEastAsia" w:cstheme="minorEastAsia"/>
          <w:b/>
          <w:bCs/>
          <w:color w:val="auto"/>
          <w:sz w:val="24"/>
          <w:szCs w:val="24"/>
        </w:rPr>
      </w:pPr>
      <w:bookmarkStart w:id="27" w:name="_Toc499125968"/>
      <w:r>
        <w:rPr>
          <w:rFonts w:hint="default" w:asciiTheme="minorAscii" w:hAnsiTheme="minorAscii" w:eastAsiaTheme="minorEastAsia" w:cstheme="minorEastAsia"/>
          <w:b/>
          <w:bCs/>
          <w:color w:val="auto"/>
          <w:sz w:val="24"/>
          <w:szCs w:val="24"/>
          <w:lang w:val="en-US" w:eastAsia="zh-CN"/>
        </w:rPr>
        <w:t>融合通信</w:t>
      </w:r>
      <w:r>
        <w:rPr>
          <w:rFonts w:hint="default" w:asciiTheme="minorAscii" w:hAnsiTheme="minorAscii" w:eastAsiaTheme="minorEastAsia" w:cstheme="minorEastAsia"/>
          <w:b/>
          <w:bCs/>
          <w:color w:val="auto"/>
          <w:sz w:val="24"/>
          <w:szCs w:val="24"/>
        </w:rPr>
        <w:t>系统图</w:t>
      </w:r>
      <w:bookmarkEnd w:id="27"/>
    </w:p>
    <w:p>
      <w:pPr>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5274945" cy="3006090"/>
            <wp:effectExtent l="0" t="0" r="13335" b="11430"/>
            <wp:docPr id="1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9"/>
                    <pic:cNvPicPr>
                      <a:picLocks noChangeAspect="1"/>
                    </pic:cNvPicPr>
                  </pic:nvPicPr>
                  <pic:blipFill>
                    <a:blip r:embed="rId38"/>
                    <a:stretch>
                      <a:fillRect/>
                    </a:stretch>
                  </pic:blipFill>
                  <pic:spPr>
                    <a:xfrm>
                      <a:off x="0" y="0"/>
                      <a:ext cx="5274945" cy="300609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heme="minorAscii" w:hAnsiTheme="minorAscii" w:eastAsiaTheme="minorEastAsia" w:cstheme="minorEastAsia"/>
          <w:color w:val="auto"/>
          <w:sz w:val="24"/>
          <w:szCs w:val="24"/>
          <w:highlight w:val="yellow"/>
          <w:lang w:val="en-US" w:eastAsia="zh-CN"/>
        </w:rPr>
      </w:pPr>
      <w:r>
        <w:rPr>
          <w:rFonts w:hint="default" w:asciiTheme="minorAscii" w:hAnsiTheme="minorAscii" w:eastAsiaTheme="minorEastAsia" w:cstheme="minorEastAsia"/>
          <w:b/>
          <w:bCs/>
          <w:sz w:val="24"/>
          <w:szCs w:val="24"/>
          <w:lang w:val="en-US" w:eastAsia="zh-CN"/>
        </w:rPr>
        <w:t>图30 三水一体协同管控体系融合通信系统图</w:t>
      </w:r>
    </w:p>
    <w:p>
      <w:pPr>
        <w:keepNext w:val="0"/>
        <w:keepLines w:val="0"/>
        <w:pageBreakBefore w:val="0"/>
        <w:widowControl w:val="0"/>
        <w:kinsoku/>
        <w:wordWrap/>
        <w:overflowPunct/>
        <w:topLinePunct w:val="0"/>
        <w:autoSpaceDE/>
        <w:autoSpaceDN/>
        <w:bidi w:val="0"/>
        <w:adjustRightInd w:val="0"/>
        <w:snapToGrid w:val="0"/>
        <w:spacing w:before="167" w:beforeLines="50"/>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白龙湖风景名胜区三水一体协同管控体系</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rPr>
        <w:t>的核心是基于语音以及视频的融合调度，故系统应可接入通讯子系统、视频监控子系统、</w:t>
      </w:r>
      <w:r>
        <w:rPr>
          <w:rFonts w:hint="default" w:asciiTheme="minorAscii" w:hAnsiTheme="minorAscii" w:eastAsiaTheme="minorEastAsia" w:cstheme="minorEastAsia"/>
          <w:color w:val="auto"/>
          <w:sz w:val="24"/>
          <w:szCs w:val="24"/>
          <w:lang w:val="en-US" w:eastAsia="zh-CN"/>
        </w:rPr>
        <w:t>无纸化会议系统、</w:t>
      </w:r>
      <w:r>
        <w:rPr>
          <w:rFonts w:hint="default" w:asciiTheme="minorAscii" w:hAnsiTheme="minorAscii" w:eastAsiaTheme="minorEastAsia" w:cstheme="minorEastAsia"/>
          <w:color w:val="auto"/>
          <w:sz w:val="24"/>
          <w:szCs w:val="24"/>
        </w:rPr>
        <w:t>视频会议子系统、无线对讲子系统、报警子系统、</w:t>
      </w:r>
      <w:r>
        <w:rPr>
          <w:rFonts w:hint="default" w:asciiTheme="minorAscii" w:hAnsiTheme="minorAscii" w:eastAsiaTheme="minorEastAsia" w:cstheme="minorEastAsia"/>
          <w:color w:val="auto"/>
          <w:sz w:val="24"/>
          <w:szCs w:val="24"/>
          <w:lang w:val="en-US" w:eastAsia="zh-CN"/>
        </w:rPr>
        <w:t>会议室中控</w:t>
      </w:r>
      <w:r>
        <w:rPr>
          <w:rFonts w:hint="default" w:asciiTheme="minorAscii" w:hAnsiTheme="minorAscii" w:eastAsiaTheme="minorEastAsia" w:cstheme="minorEastAsia"/>
          <w:color w:val="auto"/>
          <w:sz w:val="24"/>
          <w:szCs w:val="24"/>
        </w:rPr>
        <w:t>系统</w:t>
      </w:r>
      <w:r>
        <w:rPr>
          <w:rFonts w:hint="default" w:asciiTheme="minorAscii" w:hAnsiTheme="minorAscii" w:eastAsiaTheme="minorEastAsia" w:cstheme="minorEastAsia"/>
          <w:color w:val="auto"/>
          <w:sz w:val="24"/>
          <w:szCs w:val="24"/>
          <w:lang w:val="en-US" w:eastAsia="zh-CN"/>
        </w:rPr>
        <w:t>等</w:t>
      </w:r>
      <w:r>
        <w:rPr>
          <w:rFonts w:hint="default" w:asciiTheme="minorAscii" w:hAnsiTheme="minorAscii" w:eastAsiaTheme="minorEastAsia" w:cstheme="minorEastAsia"/>
          <w:color w:val="auto"/>
          <w:sz w:val="24"/>
          <w:szCs w:val="24"/>
        </w:rPr>
        <w:t>。并且通过核心架构融合贯通这些系统的视频、音频、数据，在应急</w:t>
      </w:r>
      <w:r>
        <w:rPr>
          <w:rFonts w:hint="default" w:asciiTheme="minorAscii" w:hAnsiTheme="minorAscii" w:eastAsiaTheme="minorEastAsia" w:cstheme="minorEastAsia"/>
          <w:color w:val="auto"/>
          <w:sz w:val="24"/>
          <w:szCs w:val="24"/>
          <w:lang w:val="en-US" w:eastAsia="zh-CN"/>
        </w:rPr>
        <w:t>或平时开展指挥调度时</w:t>
      </w:r>
      <w:r>
        <w:rPr>
          <w:rFonts w:hint="default" w:asciiTheme="minorAscii" w:hAnsiTheme="minorAscii" w:eastAsiaTheme="minorEastAsia" w:cstheme="minorEastAsia"/>
          <w:color w:val="auto"/>
          <w:sz w:val="24"/>
          <w:szCs w:val="24"/>
        </w:rPr>
        <w:t>，主持人可以把各方子系统的视频、音频、数据调度到客户端、手机客户端、大屏幕、桌面调度终端。</w:t>
      </w:r>
    </w:p>
    <w:p>
      <w:pPr>
        <w:pStyle w:val="10"/>
        <w:keepNext/>
        <w:keepLines/>
        <w:pageBreakBefore w:val="0"/>
        <w:widowControl w:val="0"/>
        <w:kinsoku/>
        <w:wordWrap/>
        <w:overflowPunct/>
        <w:topLinePunct w:val="0"/>
        <w:autoSpaceDE/>
        <w:autoSpaceDN/>
        <w:bidi w:val="0"/>
        <w:adjustRightInd w:val="0"/>
        <w:snapToGrid w:val="0"/>
        <w:spacing w:before="167" w:beforeLines="50" w:after="167" w:afterLines="50"/>
        <w:ind w:left="0" w:leftChars="0" w:firstLine="0" w:firstLineChars="0"/>
        <w:textAlignment w:val="auto"/>
        <w:rPr>
          <w:rFonts w:hint="default" w:asciiTheme="minorAscii" w:hAnsiTheme="minorAscii" w:eastAsiaTheme="minorEastAsia" w:cstheme="minorEastAsia"/>
          <w:b/>
          <w:bCs/>
          <w:color w:val="auto"/>
          <w:sz w:val="24"/>
          <w:szCs w:val="24"/>
        </w:rPr>
      </w:pPr>
      <w:bookmarkStart w:id="28" w:name="_Toc499125969"/>
      <w:bookmarkStart w:id="29" w:name="_Toc425932397"/>
      <w:bookmarkStart w:id="30" w:name="_Toc425932401"/>
      <w:bookmarkStart w:id="31" w:name="_Toc384286660"/>
      <w:bookmarkStart w:id="32" w:name="_Toc425932400"/>
      <w:bookmarkStart w:id="33" w:name="_Toc384286659"/>
      <w:r>
        <w:rPr>
          <w:rFonts w:hint="default" w:asciiTheme="minorAscii" w:hAnsiTheme="minorAscii" w:eastAsiaTheme="minorEastAsia" w:cstheme="minorEastAsia"/>
          <w:b/>
          <w:bCs/>
          <w:color w:val="auto"/>
          <w:sz w:val="24"/>
          <w:szCs w:val="24"/>
        </w:rPr>
        <w:t>PSTN接入</w:t>
      </w:r>
      <w:bookmarkEnd w:id="28"/>
      <w:bookmarkEnd w:id="29"/>
    </w:p>
    <w:p>
      <w:pPr>
        <w:pStyle w:val="2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语音接入模块是指挥调度</w:t>
      </w:r>
      <w:r>
        <w:rPr>
          <w:rFonts w:hint="default" w:asciiTheme="minorAscii" w:hAnsiTheme="minorAscii" w:eastAsiaTheme="minorEastAsia" w:cstheme="minorEastAsia"/>
          <w:color w:val="auto"/>
          <w:sz w:val="24"/>
          <w:szCs w:val="24"/>
          <w:lang w:val="en-US" w:eastAsia="zh-CN"/>
        </w:rPr>
        <w:t>融合通信</w:t>
      </w:r>
      <w:r>
        <w:rPr>
          <w:rFonts w:hint="default" w:asciiTheme="minorAscii" w:hAnsiTheme="minorAscii" w:eastAsiaTheme="minorEastAsia" w:cstheme="minorEastAsia"/>
          <w:color w:val="auto"/>
          <w:sz w:val="24"/>
          <w:szCs w:val="24"/>
        </w:rPr>
        <w:t>系统基础功能模块，是迅速下达命令、协同指挥的有效手段</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rPr>
        <w:t>通过接入网关设备实现与各种语音通信系统及设备的互联互通。</w:t>
      </w:r>
    </w:p>
    <w:bookmarkEnd w:id="30"/>
    <w:bookmarkEnd w:id="31"/>
    <w:p>
      <w:pPr>
        <w:ind w:firstLine="0" w:firstLineChars="0"/>
        <w:jc w:val="center"/>
        <w:rPr>
          <w:rFonts w:hint="default" w:asciiTheme="minorAscii" w:hAnsiTheme="minorAscii" w:eastAsiaTheme="minorEastAsia" w:cstheme="minorEastAsia"/>
          <w:color w:val="auto"/>
          <w:sz w:val="24"/>
          <w:szCs w:val="24"/>
          <w:lang w:eastAsia="zh-CN"/>
        </w:rPr>
      </w:pPr>
      <w:r>
        <w:rPr>
          <w:rFonts w:hint="default" w:asciiTheme="minorAscii" w:hAnsiTheme="minorAscii" w:eastAsiaTheme="minorEastAsia" w:cstheme="minorEastAsia"/>
          <w:color w:val="auto"/>
          <w:sz w:val="24"/>
          <w:szCs w:val="24"/>
          <w:lang w:eastAsia="zh-CN"/>
        </w:rPr>
        <w:drawing>
          <wp:inline distT="0" distB="0" distL="114300" distR="114300">
            <wp:extent cx="4074160" cy="2129790"/>
            <wp:effectExtent l="0" t="0" r="0" b="3810"/>
            <wp:docPr id="158" name="图片 1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图片1"/>
                    <pic:cNvPicPr>
                      <a:picLocks noChangeAspect="1"/>
                    </pic:cNvPicPr>
                  </pic:nvPicPr>
                  <pic:blipFill>
                    <a:blip r:embed="rId39"/>
                    <a:stretch>
                      <a:fillRect/>
                    </a:stretch>
                  </pic:blipFill>
                  <pic:spPr>
                    <a:xfrm>
                      <a:off x="0" y="0"/>
                      <a:ext cx="4074160" cy="2129790"/>
                    </a:xfrm>
                    <a:prstGeom prst="rect">
                      <a:avLst/>
                    </a:prstGeom>
                  </pic:spPr>
                </pic:pic>
              </a:graphicData>
            </a:graphic>
          </wp:inline>
        </w:drawing>
      </w:r>
    </w:p>
    <w:p>
      <w:pPr>
        <w:ind w:left="0" w:leftChars="0" w:firstLine="0" w:firstLineChars="0"/>
        <w:jc w:val="center"/>
        <w:rPr>
          <w:rFonts w:hint="default" w:asciiTheme="minorAscii" w:hAnsiTheme="minorAscii" w:eastAsiaTheme="minorEastAsia" w:cstheme="minorEastAsia"/>
          <w:color w:val="auto"/>
          <w:sz w:val="24"/>
          <w:szCs w:val="24"/>
          <w:lang w:val="en-US" w:eastAsia="zh-CN"/>
        </w:rPr>
      </w:pPr>
      <w:r>
        <w:rPr>
          <w:rFonts w:hint="default" w:asciiTheme="minorAscii" w:hAnsiTheme="minorAscii" w:eastAsiaTheme="minorEastAsia" w:cstheme="minorEastAsia"/>
          <w:b/>
          <w:bCs/>
          <w:sz w:val="24"/>
          <w:szCs w:val="24"/>
          <w:lang w:val="en-US" w:eastAsia="zh-CN"/>
        </w:rPr>
        <w:t>图31 PSTN接入图</w:t>
      </w:r>
    </w:p>
    <w:p>
      <w:pPr>
        <w:pStyle w:val="23"/>
        <w:keepNext w:val="0"/>
        <w:keepLines w:val="0"/>
        <w:pageBreakBefore w:val="0"/>
        <w:widowControl w:val="0"/>
        <w:numPr>
          <w:ilvl w:val="0"/>
          <w:numId w:val="27"/>
        </w:numPr>
        <w:kinsoku/>
        <w:wordWrap/>
        <w:overflowPunct/>
        <w:topLinePunct w:val="0"/>
        <w:autoSpaceDE/>
        <w:autoSpaceDN/>
        <w:bidi w:val="0"/>
        <w:adjustRightInd/>
        <w:snapToGrid w:val="0"/>
        <w:spacing w:before="333" w:beforeLines="100"/>
        <w:ind w:left="0" w:leftChars="0"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模拟中继接入</w:t>
      </w:r>
    </w:p>
    <w:p>
      <w:pPr>
        <w:pStyle w:val="23"/>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三水一体协同管控体系</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rPr>
        <w:t>通过模拟用户中继网关的模拟外线接口（O口）与PSTN运营商的外线模拟电话线对接。</w:t>
      </w:r>
    </w:p>
    <w:p>
      <w:pPr>
        <w:pStyle w:val="23"/>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优点：部署配置简单，费用及环境要求相对较低。</w:t>
      </w:r>
    </w:p>
    <w:p>
      <w:pPr>
        <w:pStyle w:val="23"/>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缺点：呼叫接续速度最慢，语音质量较差。</w:t>
      </w:r>
    </w:p>
    <w:p>
      <w:pPr>
        <w:pStyle w:val="23"/>
        <w:keepNext w:val="0"/>
        <w:keepLines w:val="0"/>
        <w:pageBreakBefore w:val="0"/>
        <w:widowControl w:val="0"/>
        <w:numPr>
          <w:ilvl w:val="0"/>
          <w:numId w:val="27"/>
        </w:numPr>
        <w:kinsoku/>
        <w:wordWrap/>
        <w:overflowPunct/>
        <w:topLinePunct w:val="0"/>
        <w:autoSpaceDE/>
        <w:autoSpaceDN/>
        <w:bidi w:val="0"/>
        <w:adjustRightInd/>
        <w:snapToGrid w:val="0"/>
        <w:ind w:left="0" w:leftChars="0"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数字中继接入</w:t>
      </w:r>
    </w:p>
    <w:p>
      <w:pPr>
        <w:pStyle w:val="23"/>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三水一体协同管控体系</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rPr>
        <w:t>通过数字中继网关的数字中继接口（E1口）与PSTN运营商的数字中继对接。</w:t>
      </w:r>
    </w:p>
    <w:p>
      <w:pPr>
        <w:pStyle w:val="23"/>
        <w:keepNext w:val="0"/>
        <w:keepLines w:val="0"/>
        <w:pageBreakBefore w:val="0"/>
        <w:widowControl w:val="0"/>
        <w:numPr>
          <w:ilvl w:val="0"/>
          <w:numId w:val="27"/>
        </w:numPr>
        <w:kinsoku/>
        <w:wordWrap/>
        <w:overflowPunct/>
        <w:topLinePunct w:val="0"/>
        <w:autoSpaceDE/>
        <w:autoSpaceDN/>
        <w:bidi w:val="0"/>
        <w:adjustRightInd/>
        <w:snapToGrid w:val="0"/>
        <w:ind w:left="0" w:leftChars="0"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SIP中继接入</w:t>
      </w:r>
    </w:p>
    <w:p>
      <w:pPr>
        <w:pStyle w:val="23"/>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三水一体协同管控体系</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rPr>
        <w:t>通过软交换服务的SIP协议接口与PSTN运营商的IP软交换设备通过协议方式接入。</w:t>
      </w:r>
    </w:p>
    <w:p>
      <w:pPr>
        <w:pStyle w:val="24"/>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drawing>
          <wp:inline distT="0" distB="0" distL="114300" distR="114300">
            <wp:extent cx="4221480" cy="1162050"/>
            <wp:effectExtent l="0" t="0" r="0" b="11430"/>
            <wp:docPr id="63" name="图片 14" descr="C:\Users\31348\Desktop\暂存\模拟中继网关.jpg"/>
            <wp:cNvGraphicFramePr/>
            <a:graphic xmlns:a="http://schemas.openxmlformats.org/drawingml/2006/main">
              <a:graphicData uri="http://schemas.openxmlformats.org/drawingml/2006/picture">
                <pic:pic xmlns:pic="http://schemas.openxmlformats.org/drawingml/2006/picture">
                  <pic:nvPicPr>
                    <pic:cNvPr id="63" name="图片 14" descr="C:\Users\31348\Desktop\暂存\模拟中继网关.jpg"/>
                    <pic:cNvPicPr/>
                  </pic:nvPicPr>
                  <pic:blipFill>
                    <a:blip r:embed="rId40"/>
                    <a:stretch>
                      <a:fillRect/>
                    </a:stretch>
                  </pic:blipFill>
                  <pic:spPr>
                    <a:xfrm>
                      <a:off x="0" y="0"/>
                      <a:ext cx="4221480" cy="1162050"/>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color w:val="auto"/>
          <w:sz w:val="24"/>
          <w:szCs w:val="24"/>
          <w:lang w:val="en-US"/>
        </w:rPr>
      </w:pPr>
      <w:r>
        <w:rPr>
          <w:rFonts w:hint="default" w:asciiTheme="minorAscii" w:hAnsiTheme="minorAscii" w:eastAsiaTheme="minorEastAsia" w:cstheme="minorEastAsia"/>
          <w:b/>
          <w:bCs/>
          <w:sz w:val="24"/>
          <w:szCs w:val="24"/>
          <w:lang w:val="en-US" w:eastAsia="zh-CN"/>
        </w:rPr>
        <w:t>图32 SIP接入示意图</w:t>
      </w:r>
    </w:p>
    <w:p>
      <w:pPr>
        <w:pStyle w:val="23"/>
        <w:keepNext w:val="0"/>
        <w:keepLines w:val="0"/>
        <w:pageBreakBefore w:val="0"/>
        <w:widowControl w:val="0"/>
        <w:numPr>
          <w:ilvl w:val="0"/>
          <w:numId w:val="27"/>
        </w:numPr>
        <w:kinsoku/>
        <w:wordWrap/>
        <w:overflowPunct/>
        <w:topLinePunct w:val="0"/>
        <w:autoSpaceDE/>
        <w:autoSpaceDN/>
        <w:bidi w:val="0"/>
        <w:adjustRightInd/>
        <w:snapToGrid w:val="0"/>
        <w:ind w:left="0" w:leftChars="0" w:firstLine="481" w:firstLineChars="200"/>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用户接入</w:t>
      </w:r>
    </w:p>
    <w:p>
      <w:pPr>
        <w:pStyle w:val="23"/>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系统语音用户主要有如下类型：模拟电话（S口）、IP电话（SIP协议）、可视电话（SIP协议、调度台、单兵终端、手机app等）</w:t>
      </w:r>
    </w:p>
    <w:p>
      <w:pPr>
        <w:pStyle w:val="23"/>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模拟电话通过模拟用户中继网关或模拟用户网关的S口接入，实现了模拟电话直接接入</w:t>
      </w:r>
      <w:r>
        <w:rPr>
          <w:rFonts w:hint="default" w:asciiTheme="minorAscii" w:hAnsiTheme="minorAscii" w:eastAsiaTheme="minorEastAsia" w:cstheme="minorEastAsia"/>
          <w:color w:val="auto"/>
          <w:sz w:val="24"/>
          <w:szCs w:val="24"/>
          <w:lang w:val="en-US" w:eastAsia="zh-CN"/>
        </w:rPr>
        <w:t>三水一体协同管控体系</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rPr>
        <w:t>，作为平台的一个分机来进行电话呼入呼出的功能。</w:t>
      </w:r>
    </w:p>
    <w:p>
      <w:pPr>
        <w:pStyle w:val="10"/>
        <w:keepNext/>
        <w:keepLines/>
        <w:pageBreakBefore w:val="0"/>
        <w:widowControl w:val="0"/>
        <w:kinsoku/>
        <w:wordWrap/>
        <w:overflowPunct/>
        <w:topLinePunct w:val="0"/>
        <w:autoSpaceDE/>
        <w:autoSpaceDN/>
        <w:bidi w:val="0"/>
        <w:adjustRightInd/>
        <w:snapToGrid w:val="0"/>
        <w:spacing w:before="167" w:beforeLines="50" w:after="167" w:afterLines="50"/>
        <w:textAlignment w:val="auto"/>
        <w:rPr>
          <w:rFonts w:hint="default" w:asciiTheme="minorAscii" w:hAnsiTheme="minorAscii" w:eastAsiaTheme="minorEastAsia" w:cstheme="minorEastAsia"/>
          <w:b/>
          <w:bCs/>
          <w:color w:val="auto"/>
          <w:sz w:val="24"/>
          <w:szCs w:val="24"/>
        </w:rPr>
      </w:pPr>
      <w:bookmarkStart w:id="34" w:name="_Toc499125970"/>
      <w:r>
        <w:rPr>
          <w:rFonts w:hint="default" w:asciiTheme="minorAscii" w:hAnsiTheme="minorAscii" w:eastAsiaTheme="minorEastAsia" w:cstheme="minorEastAsia"/>
          <w:b/>
          <w:bCs/>
          <w:color w:val="auto"/>
          <w:sz w:val="24"/>
          <w:szCs w:val="24"/>
        </w:rPr>
        <w:t>集群对讲接入</w:t>
      </w:r>
      <w:bookmarkEnd w:id="32"/>
      <w:bookmarkEnd w:id="33"/>
      <w:bookmarkEnd w:id="34"/>
    </w:p>
    <w:p>
      <w:pPr>
        <w:pStyle w:val="23"/>
        <w:keepNext w:val="0"/>
        <w:keepLines w:val="0"/>
        <w:pageBreakBefore w:val="0"/>
        <w:widowControl w:val="0"/>
        <w:kinsoku/>
        <w:wordWrap/>
        <w:overflowPunct/>
        <w:topLinePunct w:val="0"/>
        <w:autoSpaceDE/>
        <w:autoSpaceDN/>
        <w:bidi w:val="0"/>
        <w:adjustRightInd w:val="0"/>
        <w:snapToGrid w:val="0"/>
        <w:jc w:val="both"/>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三水一体协同管控体系</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rPr>
        <w:t>通过3种方式支持对讲系统接入，包括模拟常规、模拟集群、数字常规、数字集群；PDT、DMR、TETRA、MPT1327、 P25等不同制式、不同标准的多种系统。</w:t>
      </w:r>
    </w:p>
    <w:p>
      <w:pPr>
        <w:pStyle w:val="23"/>
        <w:keepNext w:val="0"/>
        <w:keepLines w:val="0"/>
        <w:pageBreakBefore w:val="0"/>
        <w:widowControl w:val="0"/>
        <w:numPr>
          <w:ilvl w:val="0"/>
          <w:numId w:val="28"/>
        </w:numPr>
        <w:kinsoku/>
        <w:wordWrap/>
        <w:overflowPunct/>
        <w:topLinePunct w:val="0"/>
        <w:autoSpaceDE/>
        <w:autoSpaceDN/>
        <w:bidi w:val="0"/>
        <w:adjustRightInd w:val="0"/>
        <w:snapToGrid w:val="0"/>
        <w:spacing w:after="333" w:afterLines="100"/>
        <w:ind w:left="0" w:leftChars="0" w:firstLine="480" w:firstLineChars="200"/>
        <w:jc w:val="both"/>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通过无线接入网关与车载对讲机设备，实现所有对讲系统的接入。该接入方式提供了最通用的接入方案，无论是什么系统，通过该方案均可实现</w:t>
      </w:r>
      <w:r>
        <w:rPr>
          <w:rFonts w:hint="default" w:asciiTheme="minorAscii" w:hAnsiTheme="minorAscii" w:eastAsiaTheme="minorEastAsia" w:cstheme="minorEastAsia"/>
          <w:color w:val="auto"/>
          <w:sz w:val="24"/>
          <w:szCs w:val="24"/>
          <w:lang w:val="en-US" w:eastAsia="zh-CN"/>
        </w:rPr>
        <w:t>三水一体协同管控体系</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rPr>
        <w:t>与对讲系统终端的语音互联互通。</w:t>
      </w:r>
    </w:p>
    <w:p>
      <w:pPr>
        <w:pStyle w:val="24"/>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363220</wp:posOffset>
                </wp:positionH>
                <wp:positionV relativeFrom="paragraph">
                  <wp:posOffset>46990</wp:posOffset>
                </wp:positionV>
                <wp:extent cx="360045" cy="144145"/>
                <wp:effectExtent l="4445" t="4445" r="16510" b="19050"/>
                <wp:wrapNone/>
                <wp:docPr id="60" name="矩形 60"/>
                <wp:cNvGraphicFramePr/>
                <a:graphic xmlns:a="http://schemas.openxmlformats.org/drawingml/2006/main">
                  <a:graphicData uri="http://schemas.microsoft.com/office/word/2010/wordprocessingShape">
                    <wps:wsp>
                      <wps:cNvSpPr/>
                      <wps:spPr>
                        <a:xfrm>
                          <a:off x="0" y="0"/>
                          <a:ext cx="360045" cy="14414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8.6pt;margin-top:3.7pt;height:11.35pt;width:28.35pt;z-index:251660288;mso-width-relative:page;mso-height-relative:page;" fillcolor="#FFFFFF" filled="t" stroked="t" coordsize="21600,21600" o:gfxdata="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mYt51QAAAAcBAAAPAAAAAAAAAAEAIAAAADgA&#10;AABkcnMvZG93bnJldi54bWxQSwECFAAUAAAACACHTuJAnFbUTvYBAAAfBAAADgAAAAAAAAABACAA&#10;AAA6AQAAZHJzL2Uyb0RvYy54bWxQSwUGAAAAAAYABgBZAQAAogUAAAAA&#10;">
                <v:fill on="t" focussize="0,0"/>
                <v:stroke color="#FFFFFF" joinstyle="miter"/>
                <v:imagedata o:title=""/>
                <o:lock v:ext="edit" aspectratio="f"/>
              </v:rect>
            </w:pict>
          </mc:Fallback>
        </mc:AlternateContent>
      </w:r>
      <w:r>
        <w:rPr>
          <w:rFonts w:hint="default" w:asciiTheme="minorAscii" w:hAnsiTheme="minorAscii" w:eastAsiaTheme="minorEastAsia" w:cstheme="minorEastAsia"/>
          <w:color w:val="auto"/>
          <w:sz w:val="24"/>
          <w:szCs w:val="24"/>
        </w:rPr>
        <w:drawing>
          <wp:inline distT="0" distB="0" distL="114300" distR="114300">
            <wp:extent cx="5289550" cy="3378835"/>
            <wp:effectExtent l="0" t="0" r="13970" b="444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41"/>
                    <a:srcRect l="2146" r="2182"/>
                    <a:stretch>
                      <a:fillRect/>
                    </a:stretch>
                  </pic:blipFill>
                  <pic:spPr>
                    <a:xfrm>
                      <a:off x="0" y="0"/>
                      <a:ext cx="5289550" cy="3378835"/>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color w:val="auto"/>
          <w:sz w:val="24"/>
          <w:szCs w:val="24"/>
          <w:lang w:val="en-US" w:eastAsia="zh-CN"/>
        </w:rPr>
      </w:pPr>
      <w:r>
        <w:rPr>
          <w:rFonts w:hint="default" w:asciiTheme="minorAscii" w:hAnsiTheme="minorAscii" w:eastAsiaTheme="minorEastAsia" w:cstheme="minorEastAsia"/>
          <w:b/>
          <w:bCs/>
          <w:sz w:val="24"/>
          <w:szCs w:val="24"/>
          <w:lang w:val="en-US" w:eastAsia="zh-CN"/>
        </w:rPr>
        <w:t>图33-1 集群对讲接入示意图1</w:t>
      </w:r>
    </w:p>
    <w:p>
      <w:pPr>
        <w:pStyle w:val="24"/>
        <w:rPr>
          <w:rFonts w:hint="default" w:asciiTheme="minorAscii" w:hAnsiTheme="minorAscii" w:eastAsiaTheme="minorEastAsia" w:cstheme="minorEastAsia"/>
          <w:color w:val="auto"/>
          <w:sz w:val="24"/>
          <w:szCs w:val="24"/>
        </w:rPr>
      </w:pPr>
    </w:p>
    <w:p>
      <w:pPr>
        <w:pStyle w:val="23"/>
        <w:numPr>
          <w:ilvl w:val="0"/>
          <w:numId w:val="28"/>
        </w:numPr>
        <w:ind w:left="840" w:leftChars="0" w:hanging="360" w:firstLineChars="0"/>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通过SIP协议，实现与集群系统终端用户之间的组呼、单呼通话</w:t>
      </w:r>
      <w:r>
        <w:rPr>
          <w:rFonts w:hint="default" w:asciiTheme="minorAscii" w:hAnsiTheme="minorAscii" w:eastAsiaTheme="minorEastAsia" w:cstheme="minorEastAsia"/>
          <w:color w:val="auto"/>
          <w:sz w:val="24"/>
          <w:szCs w:val="24"/>
          <w:lang w:eastAsia="zh-CN"/>
        </w:rPr>
        <w:t>。</w:t>
      </w:r>
    </w:p>
    <w:p>
      <w:pPr>
        <w:ind w:left="0" w:leftChars="0" w:firstLine="0" w:firstLineChars="0"/>
        <w:jc w:val="center"/>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1524635</wp:posOffset>
                </wp:positionH>
                <wp:positionV relativeFrom="paragraph">
                  <wp:posOffset>41275</wp:posOffset>
                </wp:positionV>
                <wp:extent cx="351790" cy="184150"/>
                <wp:effectExtent l="4445" t="5080" r="9525" b="8890"/>
                <wp:wrapNone/>
                <wp:docPr id="52" name="矩形 52"/>
                <wp:cNvGraphicFramePr/>
                <a:graphic xmlns:a="http://schemas.openxmlformats.org/drawingml/2006/main">
                  <a:graphicData uri="http://schemas.microsoft.com/office/word/2010/wordprocessingShape">
                    <wps:wsp>
                      <wps:cNvSpPr/>
                      <wps:spPr>
                        <a:xfrm>
                          <a:off x="0" y="0"/>
                          <a:ext cx="351790" cy="18415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0.05pt;margin-top:3.25pt;height:14.5pt;width:27.7pt;z-index:251661312;mso-width-relative:page;mso-height-relative:page;" fillcolor="#FFFFFF" filled="t" stroked="t" coordsize="21600,21600" o:gfxdata="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fmJZH9YAAAAIAQAADwAAAAAAAAABACAA&#10;AAA4AAAAZHJzL2Rvd25yZXYueG1sUEsBAhQAFAAAAAgAh07iQM/r3pf5AQAAHwQAAA4AAAAAAAAA&#10;AQAgAAAAOwEAAGRycy9lMm9Eb2MueG1sUEsFBgAAAAAGAAYAWQEAAKYFAAAAAA==&#10;">
                <v:fill on="t" focussize="0,0"/>
                <v:stroke color="#FFFFFF" joinstyle="miter"/>
                <v:imagedata o:title=""/>
                <o:lock v:ext="edit" aspectratio="f"/>
              </v:rect>
            </w:pict>
          </mc:Fallback>
        </mc:AlternateContent>
      </w:r>
      <w:r>
        <w:rPr>
          <w:rFonts w:hint="default" w:asciiTheme="minorAscii" w:hAnsiTheme="minorAscii" w:eastAsiaTheme="minorEastAsia" w:cstheme="minorEastAsia"/>
          <w:color w:val="auto"/>
          <w:sz w:val="24"/>
          <w:szCs w:val="24"/>
        </w:rPr>
        <w:drawing>
          <wp:inline distT="0" distB="0" distL="114300" distR="114300">
            <wp:extent cx="4417695" cy="3301365"/>
            <wp:effectExtent l="0" t="0" r="1905" b="571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42"/>
                    <a:srcRect t="3339" b="3945"/>
                    <a:stretch>
                      <a:fillRect/>
                    </a:stretch>
                  </pic:blipFill>
                  <pic:spPr>
                    <a:xfrm>
                      <a:off x="0" y="0"/>
                      <a:ext cx="4417695" cy="3301365"/>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color w:val="auto"/>
          <w:sz w:val="24"/>
          <w:szCs w:val="24"/>
          <w:lang w:val="en-US"/>
        </w:rPr>
      </w:pPr>
      <w:r>
        <w:rPr>
          <w:rFonts w:hint="default" w:asciiTheme="minorAscii" w:hAnsiTheme="minorAscii" w:eastAsiaTheme="minorEastAsia" w:cstheme="minorEastAsia"/>
          <w:b/>
          <w:bCs/>
          <w:sz w:val="24"/>
          <w:szCs w:val="24"/>
          <w:lang w:val="en-US" w:eastAsia="zh-CN"/>
        </w:rPr>
        <w:t>图33-2 集群对讲接入示意图2</w:t>
      </w:r>
    </w:p>
    <w:p>
      <w:pPr>
        <w:pStyle w:val="10"/>
        <w:rPr>
          <w:rFonts w:hint="default" w:asciiTheme="minorAscii" w:hAnsiTheme="minorAscii" w:eastAsiaTheme="minorEastAsia" w:cstheme="minorEastAsia"/>
          <w:b/>
          <w:bCs/>
          <w:color w:val="auto"/>
          <w:sz w:val="24"/>
          <w:szCs w:val="24"/>
        </w:rPr>
      </w:pPr>
      <w:bookmarkStart w:id="35" w:name="_Toc499125971"/>
      <w:bookmarkStart w:id="36" w:name="_Toc425932402"/>
      <w:r>
        <w:rPr>
          <w:rFonts w:hint="default" w:asciiTheme="minorAscii" w:hAnsiTheme="minorAscii" w:eastAsiaTheme="minorEastAsia" w:cstheme="minorEastAsia"/>
          <w:b/>
          <w:bCs/>
          <w:color w:val="auto"/>
          <w:sz w:val="24"/>
          <w:szCs w:val="24"/>
        </w:rPr>
        <w:t>手机app接入</w:t>
      </w:r>
      <w:bookmarkEnd w:id="35"/>
      <w:bookmarkEnd w:id="36"/>
    </w:p>
    <w:p>
      <w:pPr>
        <w:pStyle w:val="23"/>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三水一体协同管控体系</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rPr>
        <w:t>可提供手机APP接入，实现指挥中心对现场人员的调度，通过客户端任务下发，GIS定位显示、视频通话、多媒体会议等功能了解现场情况，现场人员通过手机APP视频预览、信息上传、视频上传等功能实现及时向指挥中心反馈情况。</w:t>
      </w:r>
    </w:p>
    <w:p>
      <w:pPr>
        <w:pStyle w:val="24"/>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drawing>
          <wp:inline distT="0" distB="0" distL="114300" distR="114300">
            <wp:extent cx="4478020" cy="3048000"/>
            <wp:effectExtent l="0" t="0" r="2540" b="0"/>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43"/>
                    <a:stretch>
                      <a:fillRect/>
                    </a:stretch>
                  </pic:blipFill>
                  <pic:spPr>
                    <a:xfrm>
                      <a:off x="0" y="0"/>
                      <a:ext cx="4478020" cy="3048000"/>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color w:val="auto"/>
          <w:sz w:val="24"/>
          <w:szCs w:val="24"/>
          <w:lang w:val="en-US"/>
        </w:rPr>
      </w:pPr>
      <w:r>
        <w:rPr>
          <w:rFonts w:hint="default" w:asciiTheme="minorAscii" w:hAnsiTheme="minorAscii" w:eastAsiaTheme="minorEastAsia" w:cstheme="minorEastAsia"/>
          <w:b/>
          <w:bCs/>
          <w:sz w:val="24"/>
          <w:szCs w:val="24"/>
          <w:lang w:val="en-US" w:eastAsia="zh-CN"/>
        </w:rPr>
        <w:t>图34 手机APP接入示意图</w:t>
      </w:r>
    </w:p>
    <w:p>
      <w:pPr>
        <w:pStyle w:val="10"/>
        <w:rPr>
          <w:rFonts w:hint="default" w:asciiTheme="minorAscii" w:hAnsiTheme="minorAscii" w:eastAsiaTheme="minorEastAsia" w:cstheme="minorEastAsia"/>
          <w:b/>
          <w:bCs/>
          <w:color w:val="auto"/>
          <w:sz w:val="24"/>
          <w:szCs w:val="24"/>
        </w:rPr>
      </w:pPr>
      <w:bookmarkStart w:id="37" w:name="_Toc499125973"/>
      <w:bookmarkStart w:id="38" w:name="_Toc425932404"/>
      <w:bookmarkStart w:id="39" w:name="_Toc402279140"/>
      <w:r>
        <w:rPr>
          <w:rFonts w:hint="default" w:asciiTheme="minorAscii" w:hAnsiTheme="minorAscii" w:eastAsiaTheme="minorEastAsia" w:cstheme="minorEastAsia"/>
          <w:b/>
          <w:bCs/>
          <w:color w:val="auto"/>
          <w:sz w:val="24"/>
          <w:szCs w:val="24"/>
        </w:rPr>
        <w:t>广播接入</w:t>
      </w:r>
      <w:bookmarkEnd w:id="37"/>
      <w:bookmarkEnd w:id="38"/>
      <w:bookmarkEnd w:id="39"/>
    </w:p>
    <w:p>
      <w:pPr>
        <w:pStyle w:val="23"/>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系统提供音频接入网关，实现2路音频输入输出，可接调音台系统或者广播系统。打破了模拟广播的界限，只要有TCP/IP网络都可实现广播或者调音台的接入。进一步实现对数字会议系统的指挥调度。</w:t>
      </w:r>
    </w:p>
    <w:p>
      <w:pPr>
        <w:pStyle w:val="24"/>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drawing>
          <wp:inline distT="0" distB="0" distL="114300" distR="114300">
            <wp:extent cx="5003165" cy="1379220"/>
            <wp:effectExtent l="0" t="0" r="10795" b="7620"/>
            <wp:docPr id="58" name="图片 18" descr="C:\Users\31348\Desktop\暂存\广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descr="C:\Users\31348\Desktop\暂存\广播.jpg"/>
                    <pic:cNvPicPr>
                      <a:picLocks noChangeAspect="1"/>
                    </pic:cNvPicPr>
                  </pic:nvPicPr>
                  <pic:blipFill>
                    <a:blip r:embed="rId44"/>
                    <a:stretch>
                      <a:fillRect/>
                    </a:stretch>
                  </pic:blipFill>
                  <pic:spPr>
                    <a:xfrm>
                      <a:off x="0" y="0"/>
                      <a:ext cx="5003165" cy="1379220"/>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color w:val="auto"/>
          <w:sz w:val="24"/>
          <w:szCs w:val="24"/>
          <w:lang w:val="en-US"/>
        </w:rPr>
      </w:pPr>
      <w:r>
        <w:rPr>
          <w:rFonts w:hint="default" w:asciiTheme="minorAscii" w:hAnsiTheme="minorAscii" w:eastAsiaTheme="minorEastAsia" w:cstheme="minorEastAsia"/>
          <w:b/>
          <w:bCs/>
          <w:sz w:val="24"/>
          <w:szCs w:val="24"/>
          <w:lang w:val="en-US" w:eastAsia="zh-CN"/>
        </w:rPr>
        <w:t>图35 广播接入示意图</w:t>
      </w:r>
    </w:p>
    <w:p>
      <w:pPr>
        <w:pStyle w:val="10"/>
        <w:rPr>
          <w:rFonts w:hint="default" w:asciiTheme="minorAscii" w:hAnsiTheme="minorAscii" w:eastAsiaTheme="minorEastAsia" w:cstheme="minorEastAsia"/>
          <w:b/>
          <w:bCs/>
          <w:color w:val="auto"/>
          <w:sz w:val="24"/>
          <w:szCs w:val="24"/>
        </w:rPr>
      </w:pPr>
      <w:bookmarkStart w:id="40" w:name="_Toc425932407"/>
      <w:bookmarkStart w:id="41" w:name="_Toc384286662"/>
      <w:bookmarkStart w:id="42" w:name="_Toc499125974"/>
      <w:r>
        <w:rPr>
          <w:rFonts w:hint="default" w:asciiTheme="minorAscii" w:hAnsiTheme="minorAscii" w:eastAsiaTheme="minorEastAsia" w:cstheme="minorEastAsia"/>
          <w:b/>
          <w:bCs/>
          <w:color w:val="auto"/>
          <w:sz w:val="24"/>
          <w:szCs w:val="24"/>
        </w:rPr>
        <w:t>视频接入</w:t>
      </w:r>
      <w:bookmarkEnd w:id="40"/>
      <w:bookmarkEnd w:id="41"/>
      <w:bookmarkEnd w:id="42"/>
    </w:p>
    <w:p>
      <w:pPr>
        <w:pStyle w:val="23"/>
        <w:rPr>
          <w:rFonts w:hint="default" w:asciiTheme="minorAscii" w:hAnsiTheme="minorAscii" w:eastAsiaTheme="minorEastAsia" w:cstheme="minorEastAsia"/>
          <w:color w:val="auto"/>
          <w:sz w:val="24"/>
          <w:szCs w:val="24"/>
          <w:lang w:val="en-GB"/>
        </w:rPr>
      </w:pPr>
      <w:r>
        <w:rPr>
          <w:rFonts w:hint="default" w:asciiTheme="minorAscii" w:hAnsiTheme="minorAscii" w:eastAsiaTheme="minorEastAsia" w:cstheme="minorEastAsia"/>
          <w:color w:val="auto"/>
          <w:sz w:val="24"/>
          <w:szCs w:val="24"/>
          <w:lang w:val="en-US" w:eastAsia="zh-CN"/>
        </w:rPr>
        <w:t>三水一体协同管控体系</w:t>
      </w:r>
      <w:r>
        <w:rPr>
          <w:rFonts w:hint="default" w:asciiTheme="minorAscii" w:hAnsiTheme="minorAscii" w:eastAsiaTheme="minorEastAsia" w:cstheme="minorEastAsia"/>
          <w:color w:val="auto"/>
          <w:sz w:val="24"/>
          <w:szCs w:val="24"/>
          <w:lang w:eastAsia="zh-CN"/>
        </w:rPr>
        <w:t>指挥</w:t>
      </w:r>
      <w:r>
        <w:rPr>
          <w:rFonts w:hint="default" w:asciiTheme="minorAscii" w:hAnsiTheme="minorAscii" w:eastAsiaTheme="minorEastAsia" w:cstheme="minorEastAsia"/>
          <w:color w:val="auto"/>
          <w:sz w:val="24"/>
          <w:szCs w:val="24"/>
          <w:lang w:val="en-US" w:eastAsia="zh-CN"/>
        </w:rPr>
        <w:t>调度</w:t>
      </w:r>
      <w:r>
        <w:rPr>
          <w:rFonts w:hint="default" w:asciiTheme="minorAscii" w:hAnsiTheme="minorAscii" w:eastAsiaTheme="minorEastAsia" w:cstheme="minorEastAsia"/>
          <w:color w:val="auto"/>
          <w:sz w:val="24"/>
          <w:szCs w:val="24"/>
          <w:lang w:eastAsia="zh-CN"/>
        </w:rPr>
        <w:t>融合通信</w:t>
      </w:r>
      <w:r>
        <w:rPr>
          <w:rFonts w:hint="default" w:asciiTheme="minorAscii" w:hAnsiTheme="minorAscii" w:eastAsiaTheme="minorEastAsia" w:cstheme="minorEastAsia"/>
          <w:color w:val="auto"/>
          <w:sz w:val="24"/>
          <w:szCs w:val="24"/>
          <w:lang w:val="en-US" w:eastAsia="zh-CN"/>
        </w:rPr>
        <w:t>系统</w:t>
      </w:r>
      <w:r>
        <w:rPr>
          <w:rFonts w:hint="default" w:asciiTheme="minorAscii" w:hAnsiTheme="minorAscii" w:eastAsiaTheme="minorEastAsia" w:cstheme="minorEastAsia"/>
          <w:color w:val="auto"/>
          <w:sz w:val="24"/>
          <w:szCs w:val="24"/>
          <w:lang w:val="en-GB"/>
        </w:rPr>
        <w:t>可以接入视频监控信息，支持H.264、H.26</w:t>
      </w:r>
      <w:r>
        <w:rPr>
          <w:rFonts w:hint="default" w:asciiTheme="minorAscii" w:hAnsiTheme="minorAscii" w:eastAsiaTheme="minorEastAsia" w:cstheme="minorEastAsia"/>
          <w:color w:val="auto"/>
          <w:sz w:val="24"/>
          <w:szCs w:val="24"/>
          <w:lang w:val="en-US" w:eastAsia="zh-CN"/>
        </w:rPr>
        <w:t>5</w:t>
      </w:r>
      <w:r>
        <w:rPr>
          <w:rFonts w:hint="default" w:asciiTheme="minorAscii" w:hAnsiTheme="minorAscii" w:eastAsiaTheme="minorEastAsia" w:cstheme="minorEastAsia"/>
          <w:color w:val="auto"/>
          <w:sz w:val="24"/>
          <w:szCs w:val="24"/>
          <w:lang w:val="en-GB"/>
        </w:rPr>
        <w:t>、MPEG、MPEG-4等视频格式。</w:t>
      </w:r>
    </w:p>
    <w:p>
      <w:pPr>
        <w:pStyle w:val="23"/>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default" w:asciiTheme="minorAscii" w:hAnsiTheme="minorAscii" w:eastAsiaTheme="minorEastAsia" w:cstheme="minorEastAsia"/>
          <w:color w:val="auto"/>
          <w:sz w:val="24"/>
          <w:szCs w:val="24"/>
          <w:lang w:val="en-GB"/>
        </w:rPr>
      </w:pPr>
      <w:r>
        <w:rPr>
          <w:rFonts w:hint="default" w:asciiTheme="minorAscii" w:hAnsiTheme="minorAscii" w:eastAsiaTheme="minorEastAsia" w:cstheme="minorEastAsia"/>
          <w:color w:val="auto"/>
          <w:sz w:val="24"/>
          <w:szCs w:val="24"/>
          <w:lang w:val="en-GB"/>
        </w:rPr>
        <w:t>视频模块具有标准化接口，支持多种标准化协议，支持</w:t>
      </w:r>
      <w:r>
        <w:rPr>
          <w:rFonts w:hint="default" w:asciiTheme="minorAscii" w:hAnsiTheme="minorAscii" w:eastAsiaTheme="minorEastAsia" w:cstheme="minorEastAsia"/>
          <w:color w:val="auto"/>
          <w:sz w:val="24"/>
          <w:szCs w:val="24"/>
          <w:lang w:val="en-US" w:eastAsia="zh-CN"/>
        </w:rPr>
        <w:t>300</w:t>
      </w:r>
      <w:r>
        <w:rPr>
          <w:rFonts w:hint="default" w:asciiTheme="minorAscii" w:hAnsiTheme="minorAscii" w:eastAsiaTheme="minorEastAsia" w:cstheme="minorEastAsia"/>
          <w:color w:val="auto"/>
          <w:sz w:val="24"/>
          <w:szCs w:val="24"/>
          <w:lang w:val="en-GB"/>
        </w:rPr>
        <w:t>路视频接入、管理。前端视频监控系统建设年代和标准可能不一致，</w:t>
      </w:r>
      <w:r>
        <w:rPr>
          <w:rFonts w:hint="default" w:asciiTheme="minorAscii" w:hAnsiTheme="minorAscii" w:eastAsiaTheme="minorEastAsia" w:cstheme="minorEastAsia"/>
          <w:color w:val="auto"/>
          <w:sz w:val="24"/>
          <w:szCs w:val="24"/>
          <w:lang w:val="en-GB" w:eastAsia="zh-CN"/>
        </w:rPr>
        <w:t>应急指挥融合通信平台</w:t>
      </w:r>
      <w:r>
        <w:rPr>
          <w:rFonts w:hint="default" w:asciiTheme="minorAscii" w:hAnsiTheme="minorAscii" w:eastAsiaTheme="minorEastAsia" w:cstheme="minorEastAsia"/>
          <w:color w:val="auto"/>
          <w:sz w:val="24"/>
          <w:szCs w:val="24"/>
          <w:lang w:val="en-GB"/>
        </w:rPr>
        <w:t>采用三种接入方式进行视频接入。</w:t>
      </w:r>
    </w:p>
    <w:p>
      <w:pPr>
        <w:pStyle w:val="25"/>
        <w:keepNext w:val="0"/>
        <w:keepLines w:val="0"/>
        <w:pageBreakBefore w:val="0"/>
        <w:widowControl w:val="0"/>
        <w:numPr>
          <w:ilvl w:val="0"/>
          <w:numId w:val="29"/>
        </w:numPr>
        <w:kinsoku/>
        <w:wordWrap/>
        <w:overflowPunct/>
        <w:topLinePunct w:val="0"/>
        <w:autoSpaceDE/>
        <w:autoSpaceDN/>
        <w:bidi w:val="0"/>
        <w:adjustRightInd w:val="0"/>
        <w:snapToGrid w:val="0"/>
        <w:ind w:left="0" w:leftChars="0" w:firstLine="456" w:firstLineChars="200"/>
        <w:textAlignment w:val="auto"/>
        <w:rPr>
          <w:rFonts w:hint="default" w:asciiTheme="minorAscii" w:hAnsiTheme="minorAscii" w:eastAsiaTheme="minorEastAsia" w:cstheme="minorEastAsia"/>
          <w:color w:val="auto"/>
          <w:spacing w:val="-6"/>
          <w:sz w:val="24"/>
          <w:szCs w:val="24"/>
        </w:rPr>
      </w:pPr>
      <w:r>
        <w:rPr>
          <w:rFonts w:hint="default" w:asciiTheme="minorAscii" w:hAnsiTheme="minorAscii" w:eastAsiaTheme="minorEastAsia" w:cstheme="minorEastAsia"/>
          <w:color w:val="auto"/>
          <w:spacing w:val="-6"/>
          <w:sz w:val="24"/>
          <w:szCs w:val="24"/>
        </w:rPr>
        <w:t>平台接入：通过标准接口或SDK直接通过监控平台对选定的视频进行接入。</w:t>
      </w:r>
    </w:p>
    <w:p>
      <w:pPr>
        <w:pStyle w:val="25"/>
        <w:keepNext w:val="0"/>
        <w:keepLines w:val="0"/>
        <w:pageBreakBefore w:val="0"/>
        <w:widowControl w:val="0"/>
        <w:numPr>
          <w:ilvl w:val="0"/>
          <w:numId w:val="29"/>
        </w:numPr>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前端接入：对于平台不好接入的部分监控系统，通过SDK或者标准化接口接入DVR、NVR、车载等视频。</w:t>
      </w:r>
    </w:p>
    <w:p>
      <w:pPr>
        <w:pStyle w:val="25"/>
        <w:keepNext w:val="0"/>
        <w:keepLines w:val="0"/>
        <w:pageBreakBefore w:val="0"/>
        <w:widowControl w:val="0"/>
        <w:numPr>
          <w:ilvl w:val="0"/>
          <w:numId w:val="29"/>
        </w:numPr>
        <w:kinsoku/>
        <w:wordWrap/>
        <w:overflowPunct/>
        <w:topLinePunct w:val="0"/>
        <w:autoSpaceDE/>
        <w:autoSpaceDN/>
        <w:bidi w:val="0"/>
        <w:adjustRightInd w:val="0"/>
        <w:snapToGrid w:val="0"/>
        <w:spacing w:after="167" w:afterLines="50"/>
        <w:ind w:left="0" w:leftChars="0" w:firstLine="480" w:firstLineChars="200"/>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摄像机接入：针对前面两种方式无法接入的设备，直接接入IP摄像机的视频监控图像，模拟摄像机需配置视频编码设备接入至系统。</w:t>
      </w:r>
    </w:p>
    <w:p>
      <w:pPr>
        <w:pStyle w:val="24"/>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drawing>
          <wp:inline distT="0" distB="0" distL="114300" distR="114300">
            <wp:extent cx="5260975" cy="1810385"/>
            <wp:effectExtent l="0" t="0" r="12065" b="3175"/>
            <wp:docPr id="93" name="图片 19" descr="C:\Users\31348\Desktop\暂存\监控系统接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9" descr="C:\Users\31348\Desktop\暂存\监控系统接入.jpg"/>
                    <pic:cNvPicPr>
                      <a:picLocks noChangeAspect="1"/>
                    </pic:cNvPicPr>
                  </pic:nvPicPr>
                  <pic:blipFill>
                    <a:blip r:embed="rId45"/>
                    <a:srcRect r="18082"/>
                    <a:stretch>
                      <a:fillRect/>
                    </a:stretch>
                  </pic:blipFill>
                  <pic:spPr>
                    <a:xfrm>
                      <a:off x="0" y="0"/>
                      <a:ext cx="5260975" cy="1810385"/>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color w:val="auto"/>
          <w:sz w:val="24"/>
          <w:szCs w:val="24"/>
          <w:lang w:val="en-US"/>
        </w:rPr>
      </w:pPr>
      <w:r>
        <w:rPr>
          <w:rFonts w:hint="default" w:asciiTheme="minorAscii" w:hAnsiTheme="minorAscii" w:eastAsiaTheme="minorEastAsia" w:cstheme="minorEastAsia"/>
          <w:b/>
          <w:bCs/>
          <w:sz w:val="24"/>
          <w:szCs w:val="24"/>
          <w:lang w:val="en-US" w:eastAsia="zh-CN"/>
        </w:rPr>
        <w:t>图36 视频接入示意图</w:t>
      </w:r>
    </w:p>
    <w:p>
      <w:pPr>
        <w:pStyle w:val="10"/>
        <w:rPr>
          <w:rFonts w:hint="default" w:asciiTheme="minorAscii" w:hAnsiTheme="minorAscii" w:eastAsiaTheme="minorEastAsia" w:cstheme="minorEastAsia"/>
          <w:b/>
          <w:bCs/>
          <w:color w:val="auto"/>
          <w:sz w:val="24"/>
          <w:szCs w:val="24"/>
        </w:rPr>
      </w:pPr>
      <w:bookmarkStart w:id="43" w:name="_Toc499125975"/>
      <w:bookmarkStart w:id="44" w:name="_Toc425932408"/>
      <w:bookmarkStart w:id="45" w:name="_Toc391021234"/>
      <w:bookmarkStart w:id="46" w:name="_Toc397094801"/>
      <w:r>
        <w:rPr>
          <w:rFonts w:hint="default" w:asciiTheme="minorAscii" w:hAnsiTheme="minorAscii" w:eastAsiaTheme="minorEastAsia" w:cstheme="minorEastAsia"/>
          <w:b/>
          <w:bCs/>
          <w:color w:val="auto"/>
          <w:sz w:val="24"/>
          <w:szCs w:val="24"/>
        </w:rPr>
        <w:t>无人机视频接入</w:t>
      </w:r>
      <w:bookmarkEnd w:id="43"/>
    </w:p>
    <w:p>
      <w:pPr>
        <w:ind w:firstLine="480"/>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无人机视频通过IP网络直接接入到可视化调度指挥系统，实现无人机巡逻实时画面的回传。</w:t>
      </w:r>
    </w:p>
    <w:p>
      <w:pPr>
        <w:pStyle w:val="24"/>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drawing>
          <wp:inline distT="0" distB="0" distL="114300" distR="114300">
            <wp:extent cx="4088765" cy="2238375"/>
            <wp:effectExtent l="0" t="0" r="10795" b="1905"/>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46"/>
                    <a:stretch>
                      <a:fillRect/>
                    </a:stretch>
                  </pic:blipFill>
                  <pic:spPr>
                    <a:xfrm>
                      <a:off x="0" y="0"/>
                      <a:ext cx="4088765" cy="2238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167" w:beforeLines="50"/>
        <w:ind w:left="0" w:leftChars="0" w:firstLine="0" w:firstLineChars="0"/>
        <w:jc w:val="center"/>
        <w:textAlignment w:val="auto"/>
        <w:rPr>
          <w:rFonts w:hint="default" w:asciiTheme="minorAscii" w:hAnsiTheme="minorAscii" w:eastAsiaTheme="minorEastAsia" w:cstheme="minorEastAsia"/>
          <w:color w:val="auto"/>
          <w:sz w:val="24"/>
          <w:szCs w:val="24"/>
          <w:lang w:val="en-US"/>
        </w:rPr>
      </w:pPr>
      <w:r>
        <w:rPr>
          <w:rFonts w:hint="default" w:asciiTheme="minorAscii" w:hAnsiTheme="minorAscii" w:eastAsiaTheme="minorEastAsia" w:cstheme="minorEastAsia"/>
          <w:b/>
          <w:bCs/>
          <w:sz w:val="24"/>
          <w:szCs w:val="24"/>
          <w:lang w:val="en-US" w:eastAsia="zh-CN"/>
        </w:rPr>
        <w:t>图37 无人机视频接入示意图</w:t>
      </w:r>
    </w:p>
    <w:p>
      <w:pPr>
        <w:pStyle w:val="10"/>
        <w:rPr>
          <w:rFonts w:hint="default" w:asciiTheme="minorAscii" w:hAnsiTheme="minorAscii" w:eastAsiaTheme="minorEastAsia" w:cstheme="minorEastAsia"/>
          <w:b/>
          <w:bCs/>
          <w:color w:val="auto"/>
          <w:sz w:val="24"/>
          <w:szCs w:val="24"/>
        </w:rPr>
      </w:pPr>
      <w:bookmarkStart w:id="47" w:name="_Toc499125976"/>
      <w:r>
        <w:rPr>
          <w:rFonts w:hint="default" w:asciiTheme="minorAscii" w:hAnsiTheme="minorAscii" w:eastAsiaTheme="minorEastAsia" w:cstheme="minorEastAsia"/>
          <w:b/>
          <w:bCs/>
          <w:color w:val="auto"/>
          <w:sz w:val="24"/>
          <w:szCs w:val="24"/>
        </w:rPr>
        <w:t>视频会议系统接入</w:t>
      </w:r>
      <w:bookmarkEnd w:id="44"/>
      <w:bookmarkEnd w:id="45"/>
      <w:bookmarkEnd w:id="46"/>
      <w:bookmarkEnd w:id="47"/>
    </w:p>
    <w:p>
      <w:pPr>
        <w:pStyle w:val="23"/>
        <w:keepNext w:val="0"/>
        <w:keepLines w:val="0"/>
        <w:pageBreakBefore w:val="0"/>
        <w:widowControl w:val="0"/>
        <w:kinsoku/>
        <w:wordWrap/>
        <w:overflowPunct/>
        <w:topLinePunct w:val="0"/>
        <w:autoSpaceDE/>
        <w:autoSpaceDN/>
        <w:bidi w:val="0"/>
        <w:adjustRightInd w:val="0"/>
        <w:snapToGrid w:val="0"/>
        <w:spacing w:after="167" w:afterLines="50"/>
        <w:textAlignment w:val="auto"/>
        <w:rPr>
          <w:rFonts w:hint="default" w:asciiTheme="minorAscii" w:hAnsiTheme="minorAscii" w:eastAsiaTheme="minorEastAsia" w:cstheme="minorEastAsia"/>
          <w:color w:val="auto"/>
          <w:sz w:val="24"/>
          <w:szCs w:val="24"/>
          <w:lang w:val="en-GB"/>
        </w:rPr>
      </w:pPr>
      <w:r>
        <w:rPr>
          <w:rFonts w:hint="default" w:asciiTheme="minorAscii" w:hAnsiTheme="minorAscii" w:eastAsiaTheme="minorEastAsia" w:cstheme="minorEastAsia"/>
          <w:color w:val="auto"/>
          <w:sz w:val="24"/>
          <w:szCs w:val="24"/>
          <w:lang w:val="en-GB"/>
        </w:rPr>
        <w:t>系统可接入视频会议信息，支持H.264、MPEG、MPEG-4等视频格式。系统可通过SDK接口、SIP中继、H.323协议三种对接方式与视频会议系统对接，实现</w:t>
      </w:r>
      <w:r>
        <w:rPr>
          <w:rFonts w:hint="default" w:asciiTheme="minorAscii" w:hAnsiTheme="minorAscii" w:eastAsiaTheme="minorEastAsia" w:cstheme="minorEastAsia"/>
          <w:color w:val="auto"/>
          <w:sz w:val="24"/>
          <w:szCs w:val="24"/>
          <w:lang w:val="en-GB" w:eastAsia="zh-CN"/>
        </w:rPr>
        <w:t>应急指挥融合通信平台</w:t>
      </w:r>
      <w:r>
        <w:rPr>
          <w:rFonts w:hint="default" w:asciiTheme="minorAscii" w:hAnsiTheme="minorAscii" w:eastAsiaTheme="minorEastAsia" w:cstheme="minorEastAsia"/>
          <w:color w:val="auto"/>
          <w:sz w:val="24"/>
          <w:szCs w:val="24"/>
          <w:lang w:val="en-GB"/>
        </w:rPr>
        <w:t>与视频会议系统的互联互通。</w:t>
      </w:r>
    </w:p>
    <w:p>
      <w:pPr>
        <w:pStyle w:val="24"/>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drawing>
          <wp:inline distT="0" distB="0" distL="114300" distR="114300">
            <wp:extent cx="4881880" cy="1345565"/>
            <wp:effectExtent l="0" t="0" r="10160" b="10795"/>
            <wp:docPr id="95" name="图片 21" descr="C:\Users\31348\Desktop\暂存\视频会议系统接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 descr="C:\Users\31348\Desktop\暂存\视频会议系统接入.jpg"/>
                    <pic:cNvPicPr>
                      <a:picLocks noChangeAspect="1"/>
                    </pic:cNvPicPr>
                  </pic:nvPicPr>
                  <pic:blipFill>
                    <a:blip r:embed="rId47"/>
                    <a:stretch>
                      <a:fillRect/>
                    </a:stretch>
                  </pic:blipFill>
                  <pic:spPr>
                    <a:xfrm>
                      <a:off x="0" y="0"/>
                      <a:ext cx="4881880" cy="1345565"/>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color w:val="auto"/>
          <w:sz w:val="24"/>
          <w:szCs w:val="24"/>
          <w:lang w:val="en-US"/>
        </w:rPr>
      </w:pPr>
      <w:r>
        <w:rPr>
          <w:rFonts w:hint="default" w:asciiTheme="minorAscii" w:hAnsiTheme="minorAscii" w:eastAsiaTheme="minorEastAsia" w:cstheme="minorEastAsia"/>
          <w:b/>
          <w:bCs/>
          <w:sz w:val="24"/>
          <w:szCs w:val="24"/>
          <w:lang w:val="en-US" w:eastAsia="zh-CN"/>
        </w:rPr>
        <w:t>图38 视频会议系统接入示意图</w:t>
      </w:r>
    </w:p>
    <w:p>
      <w:pPr>
        <w:pStyle w:val="10"/>
        <w:rPr>
          <w:rFonts w:hint="default" w:asciiTheme="minorAscii" w:hAnsiTheme="minorAscii" w:eastAsiaTheme="minorEastAsia" w:cstheme="minorEastAsia"/>
          <w:b/>
          <w:bCs/>
          <w:color w:val="auto"/>
          <w:sz w:val="24"/>
          <w:szCs w:val="24"/>
        </w:rPr>
      </w:pPr>
      <w:bookmarkStart w:id="48" w:name="_Toc425932409"/>
      <w:bookmarkStart w:id="49" w:name="_Toc499125977"/>
      <w:r>
        <w:rPr>
          <w:rFonts w:hint="default" w:asciiTheme="minorAscii" w:hAnsiTheme="minorAscii" w:eastAsiaTheme="minorEastAsia" w:cstheme="minorEastAsia"/>
          <w:b/>
          <w:bCs/>
          <w:color w:val="auto"/>
          <w:sz w:val="24"/>
          <w:szCs w:val="24"/>
        </w:rPr>
        <w:t>GIS地图接入</w:t>
      </w:r>
      <w:bookmarkEnd w:id="48"/>
      <w:bookmarkEnd w:id="49"/>
    </w:p>
    <w:p>
      <w:pPr>
        <w:pStyle w:val="23"/>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color w:val="auto"/>
          <w:sz w:val="24"/>
          <w:szCs w:val="24"/>
          <w:lang w:val="en-GB"/>
        </w:rPr>
      </w:pPr>
      <w:r>
        <w:rPr>
          <w:rFonts w:hint="default" w:asciiTheme="minorAscii" w:hAnsiTheme="minorAscii" w:eastAsiaTheme="minorEastAsia" w:cstheme="minorEastAsia"/>
          <w:color w:val="auto"/>
          <w:sz w:val="24"/>
          <w:szCs w:val="24"/>
          <w:lang w:val="en-GB"/>
        </w:rPr>
        <w:t>通过SDK接入GIS地图，可支持GIS地图引擎。并在此基础上进行开发具体应用，使图形业务完美的融入</w:t>
      </w:r>
      <w:r>
        <w:rPr>
          <w:rFonts w:hint="default" w:asciiTheme="minorAscii" w:hAnsiTheme="minorAscii" w:eastAsiaTheme="minorEastAsia" w:cstheme="minorEastAsia"/>
          <w:color w:val="auto"/>
          <w:sz w:val="24"/>
          <w:szCs w:val="24"/>
          <w:lang w:val="en-GB" w:eastAsia="zh-CN"/>
        </w:rPr>
        <w:t>应急指挥融合通信平台</w:t>
      </w:r>
      <w:r>
        <w:rPr>
          <w:rFonts w:hint="default" w:asciiTheme="minorAscii" w:hAnsiTheme="minorAscii" w:eastAsiaTheme="minorEastAsia" w:cstheme="minorEastAsia"/>
          <w:color w:val="auto"/>
          <w:sz w:val="24"/>
          <w:szCs w:val="24"/>
          <w:lang w:val="en-GB"/>
        </w:rPr>
        <w:t>，实现基于图形直观、便捷的指挥调度。</w:t>
      </w:r>
    </w:p>
    <w:p>
      <w:pPr>
        <w:pStyle w:val="24"/>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drawing>
          <wp:inline distT="0" distB="0" distL="114300" distR="114300">
            <wp:extent cx="5259070" cy="1449705"/>
            <wp:effectExtent l="0" t="0" r="13970" b="13335"/>
            <wp:docPr id="66" name="图片 22" descr="C:\Users\31348\Desktop\暂存\GIS地图接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descr="C:\Users\31348\Desktop\暂存\GIS地图接入.jpg"/>
                    <pic:cNvPicPr>
                      <a:picLocks noChangeAspect="1"/>
                    </pic:cNvPicPr>
                  </pic:nvPicPr>
                  <pic:blipFill>
                    <a:blip r:embed="rId48"/>
                    <a:stretch>
                      <a:fillRect/>
                    </a:stretch>
                  </pic:blipFill>
                  <pic:spPr>
                    <a:xfrm>
                      <a:off x="0" y="0"/>
                      <a:ext cx="5259070" cy="1449705"/>
                    </a:xfrm>
                    <a:prstGeom prst="rect">
                      <a:avLst/>
                    </a:prstGeom>
                    <a:noFill/>
                    <a:ln>
                      <a:noFill/>
                    </a:ln>
                  </pic:spPr>
                </pic:pic>
              </a:graphicData>
            </a:graphic>
          </wp:inline>
        </w:drawing>
      </w:r>
    </w:p>
    <w:p>
      <w:pPr>
        <w:ind w:left="0" w:leftChars="0" w:firstLine="0" w:firstLineChars="0"/>
        <w:jc w:val="center"/>
        <w:rPr>
          <w:rFonts w:hint="default" w:asciiTheme="minorAscii" w:hAnsiTheme="minorAscii" w:eastAsiaTheme="minorEastAsia" w:cstheme="minorEastAsia"/>
          <w:color w:val="auto"/>
          <w:sz w:val="24"/>
          <w:szCs w:val="24"/>
          <w:lang w:val="en-US"/>
        </w:rPr>
      </w:pPr>
      <w:r>
        <w:rPr>
          <w:rFonts w:hint="default" w:asciiTheme="minorAscii" w:hAnsiTheme="minorAscii" w:eastAsiaTheme="minorEastAsia" w:cstheme="minorEastAsia"/>
          <w:b/>
          <w:bCs/>
          <w:sz w:val="24"/>
          <w:szCs w:val="24"/>
          <w:lang w:val="en-US" w:eastAsia="zh-CN"/>
        </w:rPr>
        <w:t>图39 GIS接入示意图</w:t>
      </w:r>
    </w:p>
    <w:p>
      <w:pPr>
        <w:pStyle w:val="9"/>
        <w:pageBreakBefore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color w:val="auto"/>
          <w:sz w:val="24"/>
          <w:szCs w:val="24"/>
        </w:rPr>
      </w:pPr>
      <w:bookmarkStart w:id="50" w:name="_Toc22915"/>
      <w:bookmarkStart w:id="51" w:name="_Toc499125982"/>
      <w:r>
        <w:rPr>
          <w:rFonts w:hint="default" w:asciiTheme="minorAscii" w:hAnsiTheme="minorAscii" w:eastAsiaTheme="minorEastAsia" w:cstheme="minorEastAsia"/>
          <w:color w:val="auto"/>
          <w:sz w:val="24"/>
          <w:szCs w:val="24"/>
        </w:rPr>
        <w:t>系统功能</w:t>
      </w:r>
      <w:bookmarkEnd w:id="50"/>
      <w:bookmarkEnd w:id="51"/>
    </w:p>
    <w:p>
      <w:pPr>
        <w:pStyle w:val="23"/>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支持全可视操作，电子地图上可以显示视频类设备、语音类设备。可以快速拨打电话、点播视频、无缝召开应急指挥会议。</w:t>
      </w:r>
    </w:p>
    <w:p>
      <w:pPr>
        <w:pStyle w:val="10"/>
        <w:keepNext/>
        <w:keepLines/>
        <w:pageBreakBefore w:val="0"/>
        <w:widowControl w:val="0"/>
        <w:kinsoku/>
        <w:wordWrap/>
        <w:overflowPunct/>
        <w:topLinePunct w:val="0"/>
        <w:autoSpaceDE/>
        <w:autoSpaceDN/>
        <w:bidi w:val="0"/>
        <w:adjustRightInd/>
        <w:snapToGrid w:val="0"/>
        <w:spacing w:before="167" w:beforeLines="50" w:after="167" w:afterLines="50" w:line="300" w:lineRule="exact"/>
        <w:jc w:val="left"/>
        <w:textAlignment w:val="auto"/>
        <w:rPr>
          <w:rFonts w:hint="default" w:asciiTheme="minorAscii" w:hAnsiTheme="minorAscii" w:eastAsiaTheme="minorEastAsia" w:cstheme="minorEastAsia"/>
          <w:b/>
          <w:bCs/>
          <w:color w:val="auto"/>
          <w:sz w:val="24"/>
          <w:szCs w:val="24"/>
        </w:rPr>
      </w:pPr>
      <w:bookmarkStart w:id="52" w:name="_Toc499125983"/>
      <w:bookmarkStart w:id="53" w:name="_Toc485896375"/>
      <w:r>
        <w:rPr>
          <w:rFonts w:hint="default" w:asciiTheme="minorAscii" w:hAnsiTheme="minorAscii" w:eastAsiaTheme="minorEastAsia" w:cstheme="minorEastAsia"/>
          <w:b/>
          <w:bCs/>
          <w:color w:val="auto"/>
          <w:sz w:val="24"/>
          <w:szCs w:val="24"/>
        </w:rPr>
        <w:t>WEB指挥调度用户</w:t>
      </w:r>
      <w:bookmarkEnd w:id="52"/>
      <w:bookmarkEnd w:id="53"/>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lang w:val="en-US"/>
        </w:rPr>
      </w:pPr>
      <w:r>
        <w:rPr>
          <w:rFonts w:hint="default" w:asciiTheme="minorAscii" w:hAnsiTheme="minorAscii" w:eastAsiaTheme="minorEastAsia" w:cstheme="minorEastAsia"/>
          <w:color w:val="auto"/>
          <w:sz w:val="24"/>
          <w:szCs w:val="24"/>
          <w:lang w:val="en-US" w:eastAsia="zh-CN"/>
        </w:rPr>
        <w:t>通过WEB浏览器指挥调度。</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54" w:name="_Toc499125984"/>
      <w:r>
        <w:rPr>
          <w:rFonts w:hint="default" w:asciiTheme="minorAscii" w:hAnsiTheme="minorAscii" w:eastAsiaTheme="minorEastAsia" w:cstheme="minorEastAsia"/>
          <w:b/>
          <w:bCs/>
          <w:color w:val="auto"/>
          <w:sz w:val="24"/>
          <w:szCs w:val="24"/>
        </w:rPr>
        <w:t>指挥联动</w:t>
      </w:r>
      <w:bookmarkEnd w:id="54"/>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支持视频设备、语音设备、设备融合联动，支持设备报警联动，报警后可以联动视频、音频、指挥大屏幕设备。</w:t>
      </w:r>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接警会议：中心人员接警后，形成以案件编号为名称的点对点通信。中心人员可以邀请其他人员（手机app，调度台，PC操作台，单兵等）加入形成多方会议；</w:t>
      </w:r>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框选邀请：GIS 地图上框选事发地点周围的设备，多选邀请加入群聊共同处理紧急时间；</w:t>
      </w:r>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信息共享：群聊中可以互相推送文字，语音，录像，图片，地理位置，同时可以共享设备的点位信息，查看实时视频。</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55" w:name="_Toc499125985"/>
      <w:r>
        <w:rPr>
          <w:rFonts w:hint="default" w:asciiTheme="minorAscii" w:hAnsiTheme="minorAscii" w:eastAsiaTheme="minorEastAsia" w:cstheme="minorEastAsia"/>
          <w:b/>
          <w:bCs/>
          <w:color w:val="auto"/>
          <w:sz w:val="24"/>
          <w:szCs w:val="24"/>
        </w:rPr>
        <w:t>事件定位</w:t>
      </w:r>
      <w:bookmarkEnd w:id="55"/>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实现事发地点在GIS地图上的定位，提供单事件、多事件定位功能。有助于调度人员了解事发地点周围信息。</w:t>
      </w:r>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当特定情况报警后，可以在地图上显示报警源位置，并且可以快速与报警源可视通话。</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56" w:name="_Toc499125986"/>
      <w:r>
        <w:rPr>
          <w:rFonts w:hint="default" w:asciiTheme="minorAscii" w:hAnsiTheme="minorAscii" w:eastAsiaTheme="minorEastAsia" w:cstheme="minorEastAsia"/>
          <w:b/>
          <w:bCs/>
          <w:color w:val="auto"/>
          <w:sz w:val="24"/>
          <w:szCs w:val="24"/>
        </w:rPr>
        <w:t>一键群呼</w:t>
      </w:r>
      <w:bookmarkEnd w:id="56"/>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调度台支持一键直达重要人员形成可视通话，可以预先设定多个指挥联动组，紧急情况时一键群呼。</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57" w:name="_Toc499125987"/>
      <w:r>
        <w:rPr>
          <w:rFonts w:hint="default" w:asciiTheme="minorAscii" w:hAnsiTheme="minorAscii" w:eastAsiaTheme="minorEastAsia" w:cstheme="minorEastAsia"/>
          <w:b/>
          <w:bCs/>
          <w:color w:val="auto"/>
          <w:sz w:val="24"/>
          <w:szCs w:val="24"/>
        </w:rPr>
        <w:t>视频会商</w:t>
      </w:r>
      <w:bookmarkEnd w:id="57"/>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提供音视频会商、PPT、WORD演示，禁言、文件共享、邀请、踢人等功能。</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58" w:name="_Toc499125988"/>
      <w:r>
        <w:rPr>
          <w:rFonts w:hint="default" w:asciiTheme="minorAscii" w:hAnsiTheme="minorAscii" w:eastAsiaTheme="minorEastAsia" w:cstheme="minorEastAsia"/>
          <w:b/>
          <w:bCs/>
          <w:color w:val="auto"/>
          <w:sz w:val="24"/>
          <w:szCs w:val="24"/>
        </w:rPr>
        <w:t>预案管理</w:t>
      </w:r>
      <w:bookmarkEnd w:id="58"/>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预案是指挥调度过程中的核心依据，预案依情况制定，规定了指挥调度过程中的指挥体系、保障体系、事件分级标准和响应机制。同时，体现指挥调度过程中的指导监控机制、部门协作机制和上下级联动机制等。预案管理系统，实现了事前规划指导，事中快速响应，事后归档查询。</w:t>
      </w:r>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自定义配置：支持根据业务需求自定义配置标准流程，流程节点可以配置审批，任务发送，短信发送，播放视频，视频上墙业务功能；</w:t>
      </w:r>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预案执行记录：流程节点的执行可实时记录更新，以时间轴的形式展示，推送的图片、视频信息可以直接通过日志回放；</w:t>
      </w:r>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流程临时编辑：预案流程执行过程中，还未执行到的节点，可以临时修改配置，临时修改的配置只在此次流程执行过程中有效。</w:t>
      </w:r>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任务处理：流程中给配置的用户发送任务处理，处理人进行任务的反馈，可以附带图片、视频等参考信息。</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59" w:name="_Toc499125989"/>
      <w:r>
        <w:rPr>
          <w:rFonts w:hint="default" w:asciiTheme="minorAscii" w:hAnsiTheme="minorAscii" w:eastAsiaTheme="minorEastAsia" w:cstheme="minorEastAsia"/>
          <w:b/>
          <w:bCs/>
          <w:color w:val="auto"/>
          <w:sz w:val="24"/>
          <w:szCs w:val="24"/>
        </w:rPr>
        <w:t>录音查询</w:t>
      </w:r>
      <w:bookmarkEnd w:id="59"/>
    </w:p>
    <w:p>
      <w:pPr>
        <w:pStyle w:val="23"/>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系统接入的所有电话，在通话时可以可选择配置是否录音，所有录音进行循环覆盖，并且可以在事后进行录音查询、回放。</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60" w:name="_Toc485735770"/>
      <w:bookmarkEnd w:id="60"/>
      <w:bookmarkStart w:id="61" w:name="_Toc485735769"/>
      <w:bookmarkEnd w:id="61"/>
      <w:bookmarkStart w:id="62" w:name="_Toc485735767"/>
      <w:bookmarkEnd w:id="62"/>
      <w:bookmarkStart w:id="63" w:name="_Toc485735768"/>
      <w:bookmarkEnd w:id="63"/>
      <w:bookmarkStart w:id="64" w:name="_Toc499125990"/>
      <w:r>
        <w:rPr>
          <w:rFonts w:hint="default" w:asciiTheme="minorAscii" w:hAnsiTheme="minorAscii" w:eastAsiaTheme="minorEastAsia" w:cstheme="minorEastAsia"/>
          <w:b/>
          <w:bCs/>
          <w:color w:val="auto"/>
          <w:sz w:val="24"/>
          <w:szCs w:val="24"/>
        </w:rPr>
        <w:t>录像回放</w:t>
      </w:r>
      <w:bookmarkEnd w:id="64"/>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系统可以查询安防设备的相关的录像数据，并可以进行录像回放、录像下载、视频抓图、多倍速控制等功能操作。</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65" w:name="_Toc499125991"/>
      <w:r>
        <w:rPr>
          <w:rFonts w:hint="default" w:asciiTheme="minorAscii" w:hAnsiTheme="minorAscii" w:eastAsiaTheme="minorEastAsia" w:cstheme="minorEastAsia"/>
          <w:b/>
          <w:bCs/>
          <w:color w:val="auto"/>
          <w:sz w:val="24"/>
          <w:szCs w:val="24"/>
        </w:rPr>
        <w:t>大屏幕控制</w:t>
      </w:r>
      <w:bookmarkEnd w:id="65"/>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支持电视墙配置和视频上墙功能。可以在管理平台添加电视墙的配置，对电视墙进行画面分割、通道关联等操作。</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☉支持电视墙的选择</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☉支持实时视频上墙</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☉支持电视屏控制</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☉支持上墙任务管理</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66" w:name="_Toc499125992"/>
      <w:bookmarkStart w:id="67" w:name="_Toc485896376"/>
      <w:r>
        <w:rPr>
          <w:rFonts w:hint="default" w:asciiTheme="minorAscii" w:hAnsiTheme="minorAscii" w:eastAsiaTheme="minorEastAsia" w:cstheme="minorEastAsia"/>
          <w:b/>
          <w:bCs/>
          <w:color w:val="auto"/>
          <w:sz w:val="24"/>
          <w:szCs w:val="24"/>
        </w:rPr>
        <w:t>后台管理员功能</w:t>
      </w:r>
      <w:bookmarkEnd w:id="66"/>
      <w:bookmarkEnd w:id="67"/>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68" w:name="_Toc499125993"/>
      <w:r>
        <w:rPr>
          <w:rFonts w:hint="default" w:asciiTheme="minorAscii" w:hAnsiTheme="minorAscii" w:eastAsiaTheme="minorEastAsia" w:cstheme="minorEastAsia"/>
          <w:b/>
          <w:bCs/>
          <w:color w:val="auto"/>
          <w:sz w:val="24"/>
          <w:szCs w:val="24"/>
        </w:rPr>
        <w:t>组织管理</w:t>
      </w:r>
      <w:bookmarkEnd w:id="68"/>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系统提供组织结构的管理操作，包括添加、修改、删除。</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☉支持添加、修改、删除组织节点</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☉支持配置各个单位的上下级层次结构</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69" w:name="_Toc499125994"/>
      <w:r>
        <w:rPr>
          <w:rFonts w:hint="default" w:asciiTheme="minorAscii" w:hAnsiTheme="minorAscii" w:eastAsiaTheme="minorEastAsia" w:cstheme="minorEastAsia"/>
          <w:b/>
          <w:bCs/>
          <w:color w:val="auto"/>
          <w:sz w:val="24"/>
          <w:szCs w:val="24"/>
        </w:rPr>
        <w:t>用户管理</w:t>
      </w:r>
      <w:bookmarkEnd w:id="69"/>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系统提供用户的管理操作和权限控制，包括添加、修改、删除。</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☉支持管理员用户的添加、编辑、删除</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☉支持操作员用户的添加、编辑、删除、冻结</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☉支持用户权限设定（用户必须属于某个或多个权限组）</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☉支持用户的复用</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☉支持单位管理员权限组</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☉支持权限设定（权限包含用户管理功能的打开/关闭）</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☉支持单位操作员组</w:t>
      </w:r>
    </w:p>
    <w:p>
      <w:pPr>
        <w:pStyle w:val="25"/>
        <w:pageBreakBefore w:val="0"/>
        <w:widowControl w:val="0"/>
        <w:numPr>
          <w:ilvl w:val="0"/>
          <w:numId w:val="0"/>
        </w:numPr>
        <w:kinsoku/>
        <w:wordWrap/>
        <w:overflowPunct/>
        <w:topLinePunct w:val="0"/>
        <w:autoSpaceDE/>
        <w:autoSpaceDN/>
        <w:bidi w:val="0"/>
        <w:adjustRightInd w:val="0"/>
        <w:snapToGrid w:val="0"/>
        <w:spacing w:line="300" w:lineRule="exact"/>
        <w:ind w:left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☉支持等级控制（用于云台控制权抢夺或协商）</w:t>
      </w:r>
    </w:p>
    <w:p>
      <w:pPr>
        <w:pStyle w:val="25"/>
        <w:pageBreakBefore w:val="0"/>
        <w:widowControl w:val="0"/>
        <w:numPr>
          <w:ilvl w:val="0"/>
          <w:numId w:val="0"/>
        </w:numPr>
        <w:kinsoku/>
        <w:wordWrap/>
        <w:overflowPunct/>
        <w:topLinePunct w:val="0"/>
        <w:autoSpaceDE/>
        <w:autoSpaceDN/>
        <w:bidi w:val="0"/>
        <w:adjustRightInd w:val="0"/>
        <w:snapToGrid w:val="0"/>
        <w:spacing w:line="300" w:lineRule="exact"/>
        <w:ind w:left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☉支持可选择单位操作员对设备控制权限（设备控制权限包含监视、回放、云台）</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☉支持继承权限组</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70" w:name="_Toc499125995"/>
      <w:r>
        <w:rPr>
          <w:rFonts w:hint="default" w:asciiTheme="minorAscii" w:hAnsiTheme="minorAscii" w:eastAsiaTheme="minorEastAsia" w:cstheme="minorEastAsia"/>
          <w:b/>
          <w:bCs/>
          <w:color w:val="auto"/>
          <w:sz w:val="24"/>
          <w:szCs w:val="24"/>
        </w:rPr>
        <w:t>设备管理</w:t>
      </w:r>
      <w:bookmarkEnd w:id="70"/>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设备管理功能是通过对安防监控设备的分类设置和管理，实现对设备信息按组织结构添加、删除和修改，以及对设备的远程配置。</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☉支持添加、修改、删除设备</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☉支持设备默认参数的填写</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☉支持添加主动注册方式登录的设备</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☉支持快速配置权限组</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☉支持关键字、设备类型方式的设备搜索</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☉支持设备的离在线状态</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71" w:name="_Toc499125996"/>
      <w:r>
        <w:rPr>
          <w:rFonts w:hint="default" w:asciiTheme="minorAscii" w:hAnsiTheme="minorAscii" w:eastAsiaTheme="minorEastAsia" w:cstheme="minorEastAsia"/>
          <w:b/>
          <w:bCs/>
          <w:color w:val="auto"/>
          <w:sz w:val="24"/>
          <w:szCs w:val="24"/>
        </w:rPr>
        <w:t>报警管理</w:t>
      </w:r>
      <w:bookmarkEnd w:id="71"/>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提供报警预案、报警上墙任务等功能设置。</w:t>
      </w:r>
    </w:p>
    <w:p>
      <w:pPr>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报警预案</w:t>
      </w:r>
    </w:p>
    <w:p>
      <w:pPr>
        <w:pStyle w:val="23"/>
        <w:pageBreakBefore w:val="0"/>
        <w:widowControl w:val="0"/>
        <w:kinsoku/>
        <w:wordWrap/>
        <w:overflowPunct/>
        <w:topLinePunct w:val="0"/>
        <w:autoSpaceDE/>
        <w:autoSpaceDN/>
        <w:bidi w:val="0"/>
        <w:adjustRightInd w:val="0"/>
        <w:snapToGrid w:val="0"/>
        <w:spacing w:line="300" w:lineRule="exact"/>
        <w:ind w:left="0" w:firstLine="481" w:firstLineChars="200"/>
        <w:jc w:val="left"/>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功能说明：</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☉支持添加，删除，修改报警预案</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☉支持各种报警源（设备，监控点，报警输入点，智能通道）及对应的丰富报警事件类型</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☉联动动作支持录像，邮件，短信，上墙（预录支持设置预录时间与录像时间）</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☉支持报警预案的预览</w:t>
      </w:r>
    </w:p>
    <w:p>
      <w:pPr>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报警上墙任务</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☉报警的视频类设备进行上墙联动</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☉语音类设备摘机、挂机可以进行视频联动</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☉拨打紧急电话或者热线电话时可以进行视频联动上墙</w:t>
      </w:r>
    </w:p>
    <w:p>
      <w:pPr>
        <w:pStyle w:val="11"/>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72" w:name="_Toc499125997"/>
      <w:r>
        <w:rPr>
          <w:rFonts w:hint="default" w:asciiTheme="minorAscii" w:hAnsiTheme="minorAscii" w:eastAsiaTheme="minorEastAsia" w:cstheme="minorEastAsia"/>
          <w:b/>
          <w:bCs/>
          <w:color w:val="auto"/>
          <w:sz w:val="24"/>
          <w:szCs w:val="24"/>
        </w:rPr>
        <w:t>电子地图配置</w:t>
      </w:r>
      <w:bookmarkEnd w:id="72"/>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提供电子地图的配置，点位设置等功能。</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☉支持地图增加、修改、删除</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☉支持配置地图上下级层次结构</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☉支持在地图上放置摄像头、语音设别、建筑物</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73" w:name="_Toc499125999"/>
      <w:r>
        <w:rPr>
          <w:rFonts w:hint="default" w:asciiTheme="minorAscii" w:hAnsiTheme="minorAscii" w:eastAsiaTheme="minorEastAsia" w:cstheme="minorEastAsia"/>
          <w:b/>
          <w:bCs/>
          <w:color w:val="auto"/>
          <w:sz w:val="24"/>
          <w:szCs w:val="24"/>
        </w:rPr>
        <w:t>可视调度</w:t>
      </w:r>
      <w:bookmarkEnd w:id="73"/>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支持调度各类语音设备，支持组呼、集呼、强插、强拆、转接、监听、夜服、点名、录音回放、呼叫队列等调度功能，在通话同时还可以看到对方的视频。</w:t>
      </w:r>
    </w:p>
    <w:p>
      <w:pPr>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支持内线电话、直拨电话、紧急电话、行业专用电话、外部手机、家用电话、对讲机、单兵音频接入；</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☉支持传统电路域接入</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☉支持IP域接入</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☉支持会议室接入</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☉支持集群系统接入</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☉支持短波系统接入</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☉支持多媒体调度接入</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☉行政交换功能：双方通话、录音、集群系统对接、短波/超短波系统对接</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☉基本调度功能：对讲、多方通话、组呼、集呼、会议、转接、转移、监听、强插、强拆、保持、呼叫调度台</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☉多媒体调度功能：音视频调度、GIS系统调度、视频会议系统联动等</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☉支持多种语音格式：G711、G729、G723、GSM。支持FXS、FOX用户信令和SS7、PRI中继信令</w:t>
      </w:r>
    </w:p>
    <w:p>
      <w:pPr>
        <w:pStyle w:val="10"/>
        <w:keepNext/>
        <w:keepLines/>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74" w:name="_Toc499126000"/>
      <w:r>
        <w:rPr>
          <w:rFonts w:hint="default" w:asciiTheme="minorAscii" w:hAnsiTheme="minorAscii" w:eastAsiaTheme="minorEastAsia" w:cstheme="minorEastAsia"/>
          <w:b/>
          <w:bCs/>
          <w:color w:val="auto"/>
          <w:sz w:val="24"/>
          <w:szCs w:val="24"/>
        </w:rPr>
        <w:t>视频会商</w:t>
      </w:r>
      <w:bookmarkEnd w:id="74"/>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支持创建视频会议，邀请相关专家、领导、现场应急指挥车、事发地点处理人员加入视频会议，可以对会议参与方进行相关调度控制</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☉支持会议创建</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☉支持人员的邀请</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☉加入会议</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☉会议服务器主备切换，相关会议不中断</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☉会议密码控制</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☉会议大厅</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 xml:space="preserve">☉PPT、WORD、白板演示 </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☉禁言、声音调整</w:t>
      </w:r>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☉会议视频上大屏幕</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75" w:name="_Toc499126001"/>
      <w:r>
        <w:rPr>
          <w:rFonts w:hint="default" w:asciiTheme="minorAscii" w:hAnsiTheme="minorAscii" w:eastAsiaTheme="minorEastAsia" w:cstheme="minorEastAsia"/>
          <w:b/>
          <w:bCs/>
          <w:color w:val="auto"/>
          <w:sz w:val="24"/>
          <w:szCs w:val="24"/>
        </w:rPr>
        <w:t>大屏调度</w:t>
      </w:r>
      <w:bookmarkEnd w:id="75"/>
    </w:p>
    <w:p>
      <w:pPr>
        <w:pStyle w:val="23"/>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在指挥中心可以利用调度台快速控制大屏幕切换为日常工作方案，或者是应急指挥方案，极致的一键切换操作，满足用户应急指挥快速响应的需求。</w:t>
      </w:r>
    </w:p>
    <w:p>
      <w:pPr>
        <w:pStyle w:val="26"/>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☉支持大屏方案的一键上墙或切换</w:t>
      </w:r>
    </w:p>
    <w:p>
      <w:pPr>
        <w:pStyle w:val="26"/>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☉支持某个大屏方案内的视频一键上墙或切换</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76" w:name="_Toc485735785"/>
      <w:bookmarkEnd w:id="76"/>
      <w:bookmarkStart w:id="77" w:name="_Toc485735784"/>
      <w:bookmarkEnd w:id="77"/>
      <w:bookmarkStart w:id="78" w:name="_Toc485735783"/>
      <w:bookmarkEnd w:id="78"/>
      <w:bookmarkStart w:id="79" w:name="_Toc499126003"/>
      <w:r>
        <w:rPr>
          <w:rFonts w:hint="default" w:asciiTheme="minorAscii" w:hAnsiTheme="minorAscii" w:eastAsiaTheme="minorEastAsia" w:cstheme="minorEastAsia"/>
          <w:b/>
          <w:bCs/>
          <w:color w:val="auto"/>
          <w:sz w:val="24"/>
          <w:szCs w:val="24"/>
        </w:rPr>
        <w:t>一键报警</w:t>
      </w:r>
      <w:bookmarkEnd w:id="79"/>
    </w:p>
    <w:p>
      <w:pPr>
        <w:pStyle w:val="23"/>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支持快捷键或者按钮一键报警，报警中心可以收到报警提示音，从而将紧急敬请快速传递，寻求帮助。指挥中心接警后，手机与指挥中心即可进行语音通话及现场视频采集回传。</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80" w:name="_Toc499126004"/>
      <w:r>
        <w:rPr>
          <w:rFonts w:hint="default" w:asciiTheme="minorAscii" w:hAnsiTheme="minorAscii" w:eastAsiaTheme="minorEastAsia" w:cstheme="minorEastAsia"/>
          <w:b/>
          <w:bCs/>
          <w:color w:val="auto"/>
          <w:sz w:val="24"/>
          <w:szCs w:val="24"/>
        </w:rPr>
        <w:t>通信录</w:t>
      </w:r>
      <w:bookmarkEnd w:id="80"/>
    </w:p>
    <w:p>
      <w:pPr>
        <w:pStyle w:val="23"/>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可根据组织架构，对所有手持终端进行分组，把隶属于同一部门/单位的手持终端划入到对应的组内。用户可以根据通信录快速找到正确人进行音视频及群聊。</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81" w:name="_Toc499126005"/>
      <w:r>
        <w:rPr>
          <w:rFonts w:hint="default" w:asciiTheme="minorAscii" w:hAnsiTheme="minorAscii" w:eastAsiaTheme="minorEastAsia" w:cstheme="minorEastAsia"/>
          <w:b/>
          <w:bCs/>
          <w:color w:val="auto"/>
          <w:sz w:val="24"/>
          <w:szCs w:val="24"/>
        </w:rPr>
        <w:t>群聊</w:t>
      </w:r>
      <w:bookmarkEnd w:id="81"/>
    </w:p>
    <w:p>
      <w:pPr>
        <w:pStyle w:val="23"/>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☉视频分享：可以把视频设备的实时视频分享到群中。</w:t>
      </w:r>
    </w:p>
    <w:p>
      <w:pPr>
        <w:pStyle w:val="23"/>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☉即时消息：可在群中首发即时消息。</w:t>
      </w:r>
    </w:p>
    <w:p>
      <w:pPr>
        <w:pStyle w:val="23"/>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☉信息拍传：终端可以发送现场拍摄的图片或者小视频，并可以发送地理位置信息；支持发送接收消息或者任务的管理。</w:t>
      </w:r>
    </w:p>
    <w:p>
      <w:pPr>
        <w:pStyle w:val="23"/>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☉实时点位信息共享：在群聊中可以接收到指挥中心的实时点位信息分享，实时查看视频信息；</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82" w:name="_Toc499126006"/>
      <w:r>
        <w:rPr>
          <w:rFonts w:hint="default" w:asciiTheme="minorAscii" w:hAnsiTheme="minorAscii" w:eastAsiaTheme="minorEastAsia" w:cstheme="minorEastAsia"/>
          <w:b/>
          <w:bCs/>
          <w:color w:val="auto"/>
          <w:sz w:val="24"/>
          <w:szCs w:val="24"/>
        </w:rPr>
        <w:t>点对点音视频通信</w:t>
      </w:r>
      <w:bookmarkEnd w:id="82"/>
    </w:p>
    <w:p>
      <w:pPr>
        <w:pStyle w:val="23"/>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支持app用户之间的点对点音视频通信，同时直接文字，图片的传递和分享。关闭语音的情况下可以发送短语音或者短视频。</w:t>
      </w:r>
    </w:p>
    <w:p>
      <w:pPr>
        <w:pStyle w:val="23"/>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可以直接通过拨号功能拨打手机app，IP话机，调度台话机，可视话机，简单便捷。</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83" w:name="_Toc499126007"/>
      <w:r>
        <w:rPr>
          <w:rFonts w:hint="default" w:asciiTheme="minorAscii" w:hAnsiTheme="minorAscii" w:eastAsiaTheme="minorEastAsia" w:cstheme="minorEastAsia"/>
          <w:b/>
          <w:bCs/>
          <w:color w:val="auto"/>
          <w:sz w:val="24"/>
          <w:szCs w:val="24"/>
        </w:rPr>
        <w:t>加入视频会商</w:t>
      </w:r>
      <w:bookmarkEnd w:id="83"/>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可以作为视频会商成员；</w:t>
      </w:r>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会议室建立后，可以由调度员手动邀请人员加入，主持人和普通人员用不同的图标区别显示；</w:t>
      </w:r>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主讲人可以邀请其他人员加入会议，人员可以是通讯录已有成员或者直接通过拨号邀请；</w:t>
      </w:r>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会议室可以播放与会者绑定的视频，视频源可以是摄像头，第三方摄像头，USB摄像头，手机自带摄像头，可视话机视频，单兵视频；</w:t>
      </w:r>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会议室可以实时显示每个成员是否绑定了视频源（视频源离线/在线状态显示），并且可以显示禁言/发言状态，新的与会者加入可以实时刷新。</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84" w:name="_Toc499126008"/>
      <w:r>
        <w:rPr>
          <w:rFonts w:hint="default" w:asciiTheme="minorAscii" w:hAnsiTheme="minorAscii" w:eastAsiaTheme="minorEastAsia" w:cstheme="minorEastAsia"/>
          <w:b/>
          <w:bCs/>
          <w:color w:val="auto"/>
          <w:sz w:val="24"/>
          <w:szCs w:val="24"/>
        </w:rPr>
        <w:t>视频预览</w:t>
      </w:r>
      <w:bookmarkEnd w:id="84"/>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可以显示组织结构</w:t>
      </w:r>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可以正常播放、第三方设备的视频</w:t>
      </w:r>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可以打开、关闭显示视频头的音频数据</w:t>
      </w:r>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可以提供抓图功能，图片存放在指定目录</w:t>
      </w:r>
    </w:p>
    <w:p>
      <w:pPr>
        <w:pStyle w:val="10"/>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85" w:name="_Toc499126009"/>
      <w:r>
        <w:rPr>
          <w:rFonts w:hint="default" w:asciiTheme="minorAscii" w:hAnsiTheme="minorAscii" w:eastAsiaTheme="minorEastAsia" w:cstheme="minorEastAsia"/>
          <w:b/>
          <w:bCs/>
          <w:color w:val="auto"/>
          <w:sz w:val="24"/>
          <w:szCs w:val="24"/>
        </w:rPr>
        <w:t>任务提醒</w:t>
      </w:r>
      <w:bookmarkEnd w:id="85"/>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可以接收到来自指挥中心平台的推送消息，当收到系统推送的即时消息时，后台给出信息提示音；</w:t>
      </w:r>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可以接受来自web用户在执行预案流程时推送的任务信息或者直接通过指挥中心平台的界面推送的任务信息（视频摘要、图片）；</w:t>
      </w:r>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可以提供任务完成按钮，只有在点击结束按钮后代表任务完成并将任务变成完成状态；</w:t>
      </w:r>
    </w:p>
    <w:p>
      <w:pPr>
        <w:pStyle w:val="9"/>
        <w:pageBreakBefore w:val="0"/>
        <w:widowControl w:val="0"/>
        <w:kinsoku/>
        <w:wordWrap/>
        <w:overflowPunct/>
        <w:topLinePunct w:val="0"/>
        <w:autoSpaceDE/>
        <w:autoSpaceDN/>
        <w:bidi w:val="0"/>
        <w:adjustRightInd w:val="0"/>
        <w:snapToGrid w:val="0"/>
        <w:spacing w:before="0" w:after="0" w:line="300" w:lineRule="exact"/>
        <w:ind w:left="0" w:leftChars="0" w:firstLine="0" w:firstLineChars="0"/>
        <w:jc w:val="left"/>
        <w:textAlignment w:val="auto"/>
        <w:rPr>
          <w:rFonts w:hint="default" w:asciiTheme="minorAscii" w:hAnsiTheme="minorAscii" w:eastAsiaTheme="minorEastAsia" w:cstheme="minorEastAsia"/>
          <w:color w:val="auto"/>
          <w:sz w:val="24"/>
          <w:szCs w:val="24"/>
        </w:rPr>
      </w:pPr>
      <w:bookmarkStart w:id="86" w:name="_Toc499126010"/>
      <w:r>
        <w:rPr>
          <w:rFonts w:hint="default" w:asciiTheme="minorAscii" w:hAnsiTheme="minorAscii" w:eastAsiaTheme="minorEastAsia" w:cstheme="minorEastAsia"/>
          <w:color w:val="auto"/>
          <w:sz w:val="24"/>
          <w:szCs w:val="24"/>
        </w:rPr>
        <w:t>系统消息</w:t>
      </w:r>
      <w:bookmarkEnd w:id="86"/>
    </w:p>
    <w:p>
      <w:pPr>
        <w:pStyle w:val="26"/>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系统消息列表，以文字形式显示，分未读和已读，用颜色区分。消息列表字段包含：时间、标题、内容；</w:t>
      </w:r>
    </w:p>
    <w:p>
      <w:pPr>
        <w:pageBreakBefore w:val="0"/>
        <w:widowControl w:val="0"/>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color w:val="auto"/>
          <w:sz w:val="24"/>
          <w:szCs w:val="24"/>
        </w:rPr>
        <w:t>消息详情：内容区分几块，从上至下为：备注、图片、视频、定位。定位以定位地址形式显示，点击后可以在地图上显示位置。点击图片可以放大，再点击恢复原样。视频可以点击后播放</w:t>
      </w:r>
    </w:p>
    <w:p>
      <w:pPr>
        <w:pStyle w:val="8"/>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多媒体会议系统</w:t>
      </w:r>
    </w:p>
    <w:p>
      <w:pPr>
        <w:pStyle w:val="9"/>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设计范围</w:t>
      </w:r>
    </w:p>
    <w:p>
      <w:pPr>
        <w:pageBreakBefore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color w:val="auto"/>
          <w:sz w:val="24"/>
          <w:szCs w:val="24"/>
          <w:lang w:val="en-US" w:eastAsia="zh-CN"/>
        </w:rPr>
      </w:pPr>
      <w:r>
        <w:rPr>
          <w:rFonts w:hint="default" w:asciiTheme="minorAscii" w:hAnsiTheme="minorAscii" w:eastAsiaTheme="minorEastAsia" w:cstheme="minorEastAsia"/>
          <w:color w:val="auto"/>
          <w:sz w:val="24"/>
          <w:szCs w:val="24"/>
          <w:lang w:val="en-US" w:eastAsia="zh-CN"/>
        </w:rPr>
        <w:t>本项目在市局总指挥中心、利州分指挥中心、青川分指挥中心和3处协作点建设本地会议音视频系统，同时建设一套远程视频会议系统。</w:t>
      </w:r>
    </w:p>
    <w:p>
      <w:pPr>
        <w:pStyle w:val="9"/>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numPr>
          <w:ilvl w:val="0"/>
          <w:numId w:val="30"/>
        </w:numPr>
        <w:kinsoku/>
        <w:wordWrap/>
        <w:overflowPunct/>
        <w:topLinePunct w:val="0"/>
        <w:autoSpaceDE/>
        <w:autoSpaceDN/>
        <w:bidi w:val="0"/>
        <w:adjustRightInd w:val="0"/>
        <w:snapToGrid w:val="0"/>
        <w:spacing w:line="300" w:lineRule="exact"/>
        <w:ind w:left="0" w:leftChars="0" w:firstLine="481" w:firstLineChars="200"/>
        <w:jc w:val="left"/>
        <w:textAlignment w:val="auto"/>
        <w:rPr>
          <w:rFonts w:hint="default" w:asciiTheme="minorAscii" w:hAnsiTheme="minorAscii" w:eastAsiaTheme="minorEastAsia" w:cstheme="minorEastAsia"/>
          <w:b/>
          <w:bCs/>
          <w:color w:val="auto"/>
          <w:sz w:val="24"/>
          <w:szCs w:val="24"/>
          <w:highlight w:val="none"/>
          <w:lang w:val="en-US" w:eastAsia="zh-CN"/>
        </w:rPr>
      </w:pPr>
      <w:r>
        <w:rPr>
          <w:rFonts w:hint="default" w:asciiTheme="minorAscii" w:hAnsiTheme="minorAscii" w:eastAsiaTheme="minorEastAsia" w:cstheme="minorEastAsia"/>
          <w:b/>
          <w:bCs/>
          <w:color w:val="auto"/>
          <w:sz w:val="24"/>
          <w:szCs w:val="24"/>
          <w:highlight w:val="none"/>
          <w:lang w:val="en-US" w:eastAsia="zh-CN"/>
        </w:rPr>
        <w:t>市局总指挥中心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highlight w:val="none"/>
          <w:lang w:val="en-US" w:eastAsia="zh-CN"/>
        </w:rPr>
      </w:pPr>
      <w:r>
        <w:rPr>
          <w:rFonts w:hint="default" w:asciiTheme="minorAscii" w:hAnsiTheme="minorAscii" w:eastAsiaTheme="minorEastAsia" w:cstheme="minorEastAsia"/>
          <w:color w:val="auto"/>
          <w:sz w:val="24"/>
          <w:szCs w:val="24"/>
          <w:highlight w:val="none"/>
          <w:lang w:val="en-US" w:eastAsia="zh-CN"/>
        </w:rPr>
        <w:t>市局总指挥中心部署会议室中控系统、无纸化会议系统、会议扩声系统、远程视频会议系统。市局中心可通过桌面调度台和PC终端软件调度界面进行指挥调度。</w:t>
      </w:r>
    </w:p>
    <w:p>
      <w:pPr>
        <w:keepNext w:val="0"/>
        <w:keepLines w:val="0"/>
        <w:pageBreakBefore w:val="0"/>
        <w:widowControl w:val="0"/>
        <w:numPr>
          <w:ilvl w:val="0"/>
          <w:numId w:val="30"/>
        </w:numPr>
        <w:kinsoku/>
        <w:wordWrap/>
        <w:overflowPunct/>
        <w:topLinePunct w:val="0"/>
        <w:autoSpaceDE/>
        <w:autoSpaceDN/>
        <w:bidi w:val="0"/>
        <w:adjustRightInd w:val="0"/>
        <w:snapToGrid w:val="0"/>
        <w:spacing w:line="300" w:lineRule="exact"/>
        <w:ind w:left="0" w:leftChars="0" w:firstLine="481" w:firstLineChars="200"/>
        <w:jc w:val="left"/>
        <w:textAlignment w:val="auto"/>
        <w:rPr>
          <w:rFonts w:hint="default" w:asciiTheme="minorAscii" w:hAnsiTheme="minorAscii" w:eastAsiaTheme="minorEastAsia" w:cstheme="minorEastAsia"/>
          <w:b/>
          <w:bCs/>
          <w:color w:val="auto"/>
          <w:sz w:val="24"/>
          <w:szCs w:val="24"/>
          <w:highlight w:val="none"/>
          <w:lang w:val="en-US" w:eastAsia="zh-CN"/>
        </w:rPr>
      </w:pPr>
      <w:r>
        <w:rPr>
          <w:rFonts w:hint="default" w:asciiTheme="minorAscii" w:hAnsiTheme="minorAscii" w:eastAsiaTheme="minorEastAsia" w:cstheme="minorEastAsia"/>
          <w:b/>
          <w:bCs/>
          <w:color w:val="auto"/>
          <w:sz w:val="24"/>
          <w:szCs w:val="24"/>
          <w:highlight w:val="none"/>
          <w:lang w:val="en-US" w:eastAsia="zh-CN"/>
        </w:rPr>
        <w:t>利州分指挥中心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highlight w:val="none"/>
          <w:lang w:val="en-US" w:eastAsia="zh-CN"/>
        </w:rPr>
      </w:pPr>
      <w:r>
        <w:rPr>
          <w:rFonts w:hint="default" w:asciiTheme="minorAscii" w:hAnsiTheme="minorAscii" w:eastAsiaTheme="minorEastAsia" w:cstheme="minorEastAsia"/>
          <w:color w:val="auto"/>
          <w:sz w:val="24"/>
          <w:szCs w:val="24"/>
          <w:highlight w:val="none"/>
          <w:lang w:val="en-US" w:eastAsia="zh-CN"/>
        </w:rPr>
        <w:t>利州分中心部署会议室中控系统、会议扩声系统和远程视频会议系统。分中心通过PC终端软件调度界面进行指挥调度。</w:t>
      </w:r>
    </w:p>
    <w:p>
      <w:pPr>
        <w:keepNext w:val="0"/>
        <w:keepLines w:val="0"/>
        <w:pageBreakBefore w:val="0"/>
        <w:widowControl w:val="0"/>
        <w:numPr>
          <w:ilvl w:val="0"/>
          <w:numId w:val="30"/>
        </w:numPr>
        <w:kinsoku/>
        <w:wordWrap/>
        <w:overflowPunct/>
        <w:topLinePunct w:val="0"/>
        <w:autoSpaceDE/>
        <w:autoSpaceDN/>
        <w:bidi w:val="0"/>
        <w:adjustRightInd w:val="0"/>
        <w:snapToGrid w:val="0"/>
        <w:spacing w:line="300" w:lineRule="exact"/>
        <w:ind w:left="0" w:leftChars="0" w:firstLine="481" w:firstLineChars="200"/>
        <w:jc w:val="left"/>
        <w:textAlignment w:val="auto"/>
        <w:rPr>
          <w:rFonts w:hint="default" w:asciiTheme="minorAscii" w:hAnsiTheme="minorAscii" w:eastAsiaTheme="minorEastAsia" w:cstheme="minorEastAsia"/>
          <w:b/>
          <w:bCs/>
          <w:color w:val="auto"/>
          <w:sz w:val="24"/>
          <w:szCs w:val="24"/>
          <w:highlight w:val="none"/>
          <w:lang w:val="en-US" w:eastAsia="zh-CN"/>
        </w:rPr>
      </w:pPr>
      <w:r>
        <w:rPr>
          <w:rFonts w:hint="default" w:asciiTheme="minorAscii" w:hAnsiTheme="minorAscii" w:eastAsiaTheme="minorEastAsia" w:cstheme="minorEastAsia"/>
          <w:b/>
          <w:bCs/>
          <w:color w:val="auto"/>
          <w:sz w:val="24"/>
          <w:szCs w:val="24"/>
          <w:highlight w:val="none"/>
          <w:lang w:val="en-US" w:eastAsia="zh-CN"/>
        </w:rPr>
        <w:t>青川分指挥中心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color w:val="auto"/>
          <w:sz w:val="24"/>
          <w:szCs w:val="24"/>
          <w:highlight w:val="none"/>
          <w:lang w:val="en-US" w:eastAsia="zh-CN"/>
        </w:rPr>
      </w:pPr>
      <w:r>
        <w:rPr>
          <w:rFonts w:hint="default" w:asciiTheme="minorAscii" w:hAnsiTheme="minorAscii" w:eastAsiaTheme="minorEastAsia" w:cstheme="minorEastAsia"/>
          <w:color w:val="auto"/>
          <w:sz w:val="24"/>
          <w:szCs w:val="24"/>
          <w:highlight w:val="none"/>
          <w:lang w:val="en-US" w:eastAsia="zh-CN"/>
        </w:rPr>
        <w:t>青川分中心部署会议室中控系统、会议扩声系统和远程视频会议系统。分中心通过PC终端软件调度界面进行指挥调度。</w:t>
      </w:r>
    </w:p>
    <w:p>
      <w:pPr>
        <w:keepNext w:val="0"/>
        <w:keepLines w:val="0"/>
        <w:pageBreakBefore w:val="0"/>
        <w:widowControl w:val="0"/>
        <w:numPr>
          <w:ilvl w:val="0"/>
          <w:numId w:val="30"/>
        </w:numPr>
        <w:kinsoku/>
        <w:wordWrap/>
        <w:overflowPunct/>
        <w:topLinePunct w:val="0"/>
        <w:autoSpaceDE/>
        <w:autoSpaceDN/>
        <w:bidi w:val="0"/>
        <w:adjustRightInd w:val="0"/>
        <w:snapToGrid w:val="0"/>
        <w:spacing w:line="300" w:lineRule="exact"/>
        <w:ind w:left="0" w:leftChars="0" w:firstLine="481" w:firstLineChars="200"/>
        <w:jc w:val="left"/>
        <w:textAlignment w:val="auto"/>
        <w:rPr>
          <w:rFonts w:hint="default" w:asciiTheme="minorAscii" w:hAnsiTheme="minorAscii" w:eastAsiaTheme="minorEastAsia" w:cstheme="minorEastAsia"/>
          <w:b/>
          <w:bCs/>
          <w:color w:val="auto"/>
          <w:sz w:val="24"/>
          <w:szCs w:val="24"/>
          <w:highlight w:val="none"/>
          <w:lang w:val="en-US" w:eastAsia="zh-CN"/>
        </w:rPr>
      </w:pPr>
      <w:r>
        <w:rPr>
          <w:rFonts w:hint="default" w:asciiTheme="minorAscii" w:hAnsiTheme="minorAscii" w:eastAsiaTheme="minorEastAsia" w:cstheme="minorEastAsia"/>
          <w:b/>
          <w:bCs/>
          <w:color w:val="auto"/>
          <w:sz w:val="24"/>
          <w:szCs w:val="24"/>
          <w:highlight w:val="none"/>
          <w:lang w:val="en-US" w:eastAsia="zh-CN"/>
        </w:rPr>
        <w:t>3处协作点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80" w:firstLineChars="200"/>
        <w:jc w:val="left"/>
        <w:textAlignment w:val="auto"/>
        <w:rPr>
          <w:rFonts w:hint="default" w:asciiTheme="minorAscii" w:hAnsiTheme="minorAscii" w:eastAsiaTheme="minorEastAsia" w:cstheme="minorEastAsia"/>
          <w:color w:val="auto"/>
          <w:sz w:val="24"/>
          <w:szCs w:val="24"/>
          <w:highlight w:val="none"/>
          <w:lang w:val="en-US" w:eastAsia="zh-CN"/>
        </w:rPr>
      </w:pPr>
      <w:r>
        <w:rPr>
          <w:rFonts w:hint="default" w:asciiTheme="minorAscii" w:hAnsiTheme="minorAscii" w:eastAsiaTheme="minorEastAsia" w:cstheme="minorEastAsia"/>
          <w:color w:val="auto"/>
          <w:sz w:val="24"/>
          <w:szCs w:val="24"/>
          <w:highlight w:val="none"/>
          <w:lang w:val="en-US" w:eastAsia="zh-CN"/>
        </w:rPr>
        <w:t>3处协作点各建设远程视频会议系统1套，分别配备会议终端1台、会议摄像机1台</w:t>
      </w:r>
    </w:p>
    <w:p>
      <w:pPr>
        <w:pStyle w:val="9"/>
        <w:keepNext w:val="0"/>
        <w:keepLines w:val="0"/>
        <w:pageBreakBefore w:val="0"/>
        <w:widowControl w:val="0"/>
        <w:kinsoku/>
        <w:wordWrap/>
        <w:overflowPunct/>
        <w:topLinePunct w:val="0"/>
        <w:autoSpaceDE/>
        <w:autoSpaceDN/>
        <w:bidi w:val="0"/>
        <w:adjustRightInd w:val="0"/>
        <w:snapToGrid/>
        <w:spacing w:line="300" w:lineRule="exac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系统组成</w:t>
      </w:r>
    </w:p>
    <w:p>
      <w:pPr>
        <w:pStyle w:val="10"/>
        <w:keepNext w:val="0"/>
        <w:keepLines w:val="0"/>
        <w:pageBreakBefore w:val="0"/>
        <w:widowControl w:val="0"/>
        <w:kinsoku/>
        <w:wordWrap/>
        <w:overflowPunct/>
        <w:topLinePunct w:val="0"/>
        <w:autoSpaceDE/>
        <w:autoSpaceDN/>
        <w:bidi w:val="0"/>
        <w:adjustRightInd w:val="0"/>
        <w:snapToGrid/>
        <w:spacing w:after="167" w:afterLines="50" w:line="300" w:lineRule="exact"/>
        <w:ind w:left="0" w:leftChars="0" w:firstLine="0" w:firstLineChars="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显示系统</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本项目</w:t>
      </w:r>
      <w:r>
        <w:rPr>
          <w:rFonts w:hint="default" w:asciiTheme="minorAscii" w:hAnsiTheme="minorAscii" w:eastAsiaTheme="minorEastAsia" w:cstheme="minorEastAsia"/>
          <w:color w:val="auto"/>
          <w:sz w:val="24"/>
          <w:szCs w:val="24"/>
        </w:rPr>
        <w:t>会议系统的显示系统是会议信息呈现的核心载体，其设计需兼顾高清展示、互动协作与多信号管理，以下为详细描述：</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eastAsia="zh-CN"/>
        </w:rPr>
        <w:t>（</w:t>
      </w:r>
      <w:r>
        <w:rPr>
          <w:rFonts w:hint="default" w:asciiTheme="minorAscii" w:hAnsiTheme="minorAscii" w:eastAsiaTheme="minorEastAsia" w:cstheme="minorEastAsia"/>
          <w:color w:val="auto"/>
          <w:sz w:val="24"/>
          <w:szCs w:val="24"/>
          <w:lang w:val="en-US" w:eastAsia="zh-CN"/>
        </w:rPr>
        <w:t>1</w:t>
      </w:r>
      <w:r>
        <w:rPr>
          <w:rFonts w:hint="default" w:asciiTheme="minorAscii" w:hAnsiTheme="minorAscii" w:eastAsiaTheme="minorEastAsia" w:cstheme="minorEastAsia"/>
          <w:color w:val="auto"/>
          <w:sz w:val="24"/>
          <w:szCs w:val="24"/>
          <w:lang w:eastAsia="zh-CN"/>
        </w:rPr>
        <w:t>）</w:t>
      </w:r>
      <w:r>
        <w:rPr>
          <w:rFonts w:hint="default" w:asciiTheme="minorAscii" w:hAnsiTheme="minorAscii" w:eastAsiaTheme="minorEastAsia" w:cstheme="minorEastAsia"/>
          <w:color w:val="auto"/>
          <w:sz w:val="24"/>
          <w:szCs w:val="24"/>
        </w:rPr>
        <w:t>核心显示设备</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1）LED小间距显示</w:t>
      </w:r>
      <w:r>
        <w:rPr>
          <w:rFonts w:hint="default" w:asciiTheme="minorAscii" w:hAnsiTheme="minorAscii" w:eastAsiaTheme="minorEastAsia" w:cstheme="minorEastAsia"/>
          <w:color w:val="auto"/>
          <w:sz w:val="24"/>
          <w:szCs w:val="24"/>
        </w:rPr>
        <w:t>屏：用于主显会议材料、视频画面或数据图表，支持4K/8K超高清分辨率，确保文字、图像细节清晰可见。</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lang w:val="en-US" w:eastAsia="zh-CN"/>
        </w:rPr>
      </w:pPr>
      <w:r>
        <w:rPr>
          <w:rFonts w:hint="default" w:asciiTheme="minorAscii" w:hAnsiTheme="minorAscii" w:eastAsiaTheme="minorEastAsia" w:cstheme="minorEastAsia"/>
          <w:color w:val="auto"/>
          <w:sz w:val="24"/>
          <w:szCs w:val="24"/>
          <w:lang w:val="en-US" w:eastAsia="zh-CN"/>
        </w:rPr>
        <w:t>2）会议平板一体机：集成触控功能，支持参会者直接标注、书写或拖拽内容，适用于头脑风暴、方案讨论等协作场景，部分设备可保存批注记录并分享。</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eastAsia="zh-CN"/>
        </w:rPr>
        <w:t>（</w:t>
      </w:r>
      <w:r>
        <w:rPr>
          <w:rFonts w:hint="default" w:asciiTheme="minorAscii" w:hAnsiTheme="minorAscii" w:eastAsiaTheme="minorEastAsia" w:cstheme="minorEastAsia"/>
          <w:color w:val="auto"/>
          <w:sz w:val="24"/>
          <w:szCs w:val="24"/>
          <w:lang w:val="en-US" w:eastAsia="zh-CN"/>
        </w:rPr>
        <w:t>2</w:t>
      </w:r>
      <w:r>
        <w:rPr>
          <w:rFonts w:hint="default" w:asciiTheme="minorAscii" w:hAnsiTheme="minorAscii" w:eastAsiaTheme="minorEastAsia" w:cstheme="minorEastAsia"/>
          <w:color w:val="auto"/>
          <w:sz w:val="24"/>
          <w:szCs w:val="24"/>
          <w:lang w:eastAsia="zh-CN"/>
        </w:rPr>
        <w:t>）</w:t>
      </w:r>
      <w:r>
        <w:rPr>
          <w:rFonts w:hint="default" w:asciiTheme="minorAscii" w:hAnsiTheme="minorAscii" w:eastAsiaTheme="minorEastAsia" w:cstheme="minorEastAsia"/>
          <w:color w:val="auto"/>
          <w:sz w:val="24"/>
          <w:szCs w:val="24"/>
        </w:rPr>
        <w:t>信号处理与分配</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lang w:val="en-US" w:eastAsia="zh-CN"/>
        </w:rPr>
      </w:pPr>
      <w:r>
        <w:rPr>
          <w:rFonts w:hint="default" w:asciiTheme="minorAscii" w:hAnsiTheme="minorAscii" w:eastAsiaTheme="minorEastAsia" w:cstheme="minorEastAsia"/>
          <w:color w:val="auto"/>
          <w:sz w:val="24"/>
          <w:szCs w:val="24"/>
          <w:lang w:val="en-US" w:eastAsia="zh-CN"/>
        </w:rPr>
        <w:t>1）多信号源接入：支持笔记本电脑、摄像机、无线投屏器、远程视频会议终端等多设备同时接入，通过矩阵切换器或分配器实现信号快速切换。</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lang w:val="en-US" w:eastAsia="zh-CN"/>
        </w:rPr>
      </w:pPr>
      <w:r>
        <w:rPr>
          <w:rFonts w:hint="default" w:asciiTheme="minorAscii" w:hAnsiTheme="minorAscii" w:eastAsiaTheme="minorEastAsia" w:cstheme="minorEastAsia"/>
          <w:color w:val="auto"/>
          <w:sz w:val="24"/>
          <w:szCs w:val="24"/>
          <w:lang w:val="en-US" w:eastAsia="zh-CN"/>
        </w:rPr>
        <w:t>2）画面分割与叠加：支持多路信号同屏显示，满足复杂会议场景需求。</w:t>
      </w:r>
    </w:p>
    <w:p>
      <w:pPr>
        <w:pStyle w:val="10"/>
        <w:keepNext w:val="0"/>
        <w:keepLines w:val="0"/>
        <w:pageBreakBefore w:val="0"/>
        <w:widowControl w:val="0"/>
        <w:kinsoku/>
        <w:wordWrap/>
        <w:overflowPunct/>
        <w:topLinePunct w:val="0"/>
        <w:autoSpaceDE/>
        <w:autoSpaceDN/>
        <w:bidi w:val="0"/>
        <w:adjustRightInd w:val="0"/>
        <w:snapToGrid/>
        <w:spacing w:before="0" w:after="167" w:afterLines="50" w:line="300" w:lineRule="exact"/>
        <w:ind w:left="0" w:leftChars="0" w:firstLine="0" w:firstLineChars="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扩声系统</w:t>
      </w:r>
    </w:p>
    <w:p>
      <w:pPr>
        <w:keepNext w:val="0"/>
        <w:keepLines w:val="0"/>
        <w:pageBreakBefore w:val="0"/>
        <w:widowControl/>
        <w:suppressLineNumbers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kern w:val="0"/>
          <w:sz w:val="24"/>
          <w:szCs w:val="24"/>
          <w:lang w:val="en-US" w:eastAsia="zh-CN" w:bidi="ar"/>
        </w:rPr>
        <w:t>会议扩声系统作为会议沟通的核心音频支撑载体，以“高保真音质还原、低延迟信号传输、灵活场景适配”为核心目标，覆盖音频采集、处理、放大、输出全链路，同时整合智能管理与互动适配能力，满足不同规模、类型会议的音频需求，具体功能可分为以下核心模块：</w:t>
      </w:r>
    </w:p>
    <w:p>
      <w:pPr>
        <w:keepNext w:val="0"/>
        <w:keepLines w:val="0"/>
        <w:pageBreakBefore w:val="0"/>
        <w:widowControl/>
        <w:suppressLineNumbers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kern w:val="0"/>
          <w:sz w:val="24"/>
          <w:szCs w:val="24"/>
          <w:lang w:val="en-US" w:eastAsia="zh-CN" w:bidi="ar"/>
        </w:rPr>
      </w:pPr>
      <w:r>
        <w:rPr>
          <w:rFonts w:hint="default" w:asciiTheme="minorAscii" w:hAnsiTheme="minorAscii" w:eastAsiaTheme="minorEastAsia" w:cstheme="minorEastAsia"/>
          <w:b/>
          <w:bCs/>
          <w:kern w:val="0"/>
          <w:sz w:val="24"/>
          <w:szCs w:val="24"/>
          <w:lang w:val="en-US" w:eastAsia="zh-CN" w:bidi="ar"/>
        </w:rPr>
        <w:t>1）音频采集与输入功能</w:t>
      </w:r>
    </w:p>
    <w:p>
      <w:pPr>
        <w:keepNext w:val="0"/>
        <w:keepLines w:val="0"/>
        <w:pageBreakBefore w:val="0"/>
        <w:widowControl/>
        <w:suppressLineNumbers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kern w:val="0"/>
          <w:sz w:val="24"/>
          <w:szCs w:val="24"/>
          <w:lang w:val="en-US" w:eastAsia="zh-CN" w:bidi="ar"/>
        </w:rPr>
        <w:t>该模块是系统的“声音入口”，核心作用是精准捕捉各类会议音源，确保信号采集的完整性与清晰度，适配不同发言场景：</w:t>
      </w:r>
    </w:p>
    <w:p>
      <w:pPr>
        <w:keepNext w:val="0"/>
        <w:keepLines w:val="0"/>
        <w:pageBreakBefore w:val="0"/>
        <w:widowControl/>
        <w:suppressLineNumbers w:val="0"/>
        <w:kinsoku/>
        <w:wordWrap/>
        <w:overflowPunct/>
        <w:topLinePunct w:val="0"/>
        <w:autoSpaceDE/>
        <w:autoSpaceDN/>
        <w:bidi w:val="0"/>
        <w:adjustRightIn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rPr>
      </w:pPr>
      <w:r>
        <w:rPr>
          <w:rStyle w:val="21"/>
          <w:rFonts w:hint="default" w:asciiTheme="minorAscii" w:hAnsiTheme="minorAscii" w:eastAsiaTheme="minorEastAsia" w:cstheme="minorEastAsia"/>
          <w:b w:val="0"/>
          <w:bCs/>
          <w:kern w:val="0"/>
          <w:sz w:val="24"/>
          <w:szCs w:val="24"/>
          <w:lang w:val="en-US" w:eastAsia="zh-CN" w:bidi="ar"/>
        </w:rPr>
        <w:t>多场景发言采集</w:t>
      </w:r>
      <w:r>
        <w:rPr>
          <w:rFonts w:hint="default" w:asciiTheme="minorAscii" w:hAnsiTheme="minorAscii" w:eastAsiaTheme="minorEastAsia" w:cstheme="minorEastAsia"/>
          <w:b w:val="0"/>
          <w:bCs/>
          <w:kern w:val="0"/>
          <w:sz w:val="24"/>
          <w:szCs w:val="24"/>
          <w:lang w:val="en-US" w:eastAsia="zh-CN" w:bidi="ar"/>
        </w:rPr>
        <w:t>：</w:t>
      </w:r>
      <w:r>
        <w:rPr>
          <w:rFonts w:hint="default" w:asciiTheme="minorAscii" w:hAnsiTheme="minorAscii" w:eastAsiaTheme="minorEastAsia" w:cstheme="minorEastAsia"/>
          <w:kern w:val="0"/>
          <w:sz w:val="24"/>
          <w:szCs w:val="24"/>
          <w:lang w:val="en-US" w:eastAsia="zh-CN" w:bidi="ar"/>
        </w:rPr>
        <w:t>支持有线/无线麦克风灵活接入，适配不同发言形式——圆桌会议可部署鹅颈式有线麦克风，确保固定座位发言清晰；移动发言场景可搭配无线手持麦克风、领夹麦克风，满足演讲者、汇报人移动需求；大型报告厅可配置阵列式拾音麦克风，覆盖大范围区域的分散发言。</w:t>
      </w:r>
    </w:p>
    <w:p>
      <w:pPr>
        <w:keepNext w:val="0"/>
        <w:keepLines w:val="0"/>
        <w:pageBreakBefore w:val="0"/>
        <w:widowControl/>
        <w:suppressLineNumbers w:val="0"/>
        <w:kinsoku/>
        <w:wordWrap/>
        <w:overflowPunct/>
        <w:topLinePunct w:val="0"/>
        <w:autoSpaceDE/>
        <w:autoSpaceDN/>
        <w:bidi w:val="0"/>
        <w:adjustRightIn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rPr>
      </w:pPr>
      <w:r>
        <w:rPr>
          <w:rStyle w:val="21"/>
          <w:rFonts w:hint="default" w:asciiTheme="minorAscii" w:hAnsiTheme="minorAscii" w:eastAsiaTheme="minorEastAsia" w:cstheme="minorEastAsia"/>
          <w:b w:val="0"/>
          <w:bCs/>
          <w:kern w:val="0"/>
          <w:sz w:val="24"/>
          <w:szCs w:val="24"/>
          <w:lang w:val="en-US" w:eastAsia="zh-CN" w:bidi="ar"/>
        </w:rPr>
        <w:t>多音源兼容输入：除会</w:t>
      </w:r>
      <w:r>
        <w:rPr>
          <w:rFonts w:hint="default" w:asciiTheme="minorAscii" w:hAnsiTheme="minorAscii" w:eastAsiaTheme="minorEastAsia" w:cstheme="minorEastAsia"/>
          <w:kern w:val="0"/>
          <w:sz w:val="24"/>
          <w:szCs w:val="24"/>
          <w:lang w:val="en-US" w:eastAsia="zh-CN" w:bidi="ar"/>
        </w:rPr>
        <w:t>议发言外，可接入笔记本电脑、U盘、CD机等外部设备的音频信号，支持视频会议软件（如腾讯会议、Zoom）的远程音频输入，实现本地发言与远程音频的同步采集。</w:t>
      </w:r>
    </w:p>
    <w:p>
      <w:pPr>
        <w:keepNext w:val="0"/>
        <w:keepLines w:val="0"/>
        <w:pageBreakBefore w:val="0"/>
        <w:widowControl/>
        <w:suppressLineNumbers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kern w:val="0"/>
          <w:sz w:val="24"/>
          <w:szCs w:val="24"/>
          <w:lang w:val="en-US" w:eastAsia="zh-CN" w:bidi="ar"/>
        </w:rPr>
      </w:pPr>
      <w:r>
        <w:rPr>
          <w:rFonts w:hint="default" w:asciiTheme="minorAscii" w:hAnsiTheme="minorAscii" w:eastAsiaTheme="minorEastAsia" w:cstheme="minorEastAsia"/>
          <w:b/>
          <w:bCs/>
          <w:kern w:val="0"/>
          <w:sz w:val="24"/>
          <w:szCs w:val="24"/>
          <w:lang w:val="en-US" w:eastAsia="zh-CN" w:bidi="ar"/>
        </w:rPr>
        <w:t>2）音频处理与优化功能</w:t>
      </w:r>
    </w:p>
    <w:p>
      <w:pPr>
        <w:keepNext w:val="0"/>
        <w:keepLines w:val="0"/>
        <w:pageBreakBefore w:val="0"/>
        <w:widowControl/>
        <w:suppressLineNumbers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kern w:val="0"/>
          <w:sz w:val="24"/>
          <w:szCs w:val="24"/>
          <w:lang w:val="en-US" w:eastAsia="zh-CN" w:bidi="ar"/>
        </w:rPr>
        <w:t>该模块是系统的“音质核心”，通过专业算法消除干扰、优化音质，确保输出音频清晰稳定，解决复杂环境下的音频问题：</w:t>
      </w:r>
    </w:p>
    <w:p>
      <w:pPr>
        <w:keepNext w:val="0"/>
        <w:keepLines w:val="0"/>
        <w:pageBreakBefore w:val="0"/>
        <w:widowControl/>
        <w:suppressLineNumbers w:val="0"/>
        <w:kinsoku/>
        <w:wordWrap/>
        <w:overflowPunct/>
        <w:topLinePunct w:val="0"/>
        <w:autoSpaceDE/>
        <w:autoSpaceDN/>
        <w:bidi w:val="0"/>
        <w:adjustRightIn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rPr>
      </w:pPr>
      <w:r>
        <w:rPr>
          <w:rStyle w:val="21"/>
          <w:rFonts w:hint="default" w:asciiTheme="minorAscii" w:hAnsiTheme="minorAscii" w:eastAsiaTheme="minorEastAsia" w:cstheme="minorEastAsia"/>
          <w:b w:val="0"/>
          <w:bCs/>
          <w:kern w:val="0"/>
          <w:sz w:val="24"/>
          <w:szCs w:val="24"/>
          <w:lang w:val="en-US" w:eastAsia="zh-CN" w:bidi="ar"/>
        </w:rPr>
        <w:t>噪声与干扰抑制</w:t>
      </w:r>
      <w:r>
        <w:rPr>
          <w:rFonts w:hint="default" w:asciiTheme="minorAscii" w:hAnsiTheme="minorAscii" w:eastAsiaTheme="minorEastAsia" w:cstheme="minorEastAsia"/>
          <w:b w:val="0"/>
          <w:bCs/>
          <w:kern w:val="0"/>
          <w:sz w:val="24"/>
          <w:szCs w:val="24"/>
          <w:lang w:val="en-US" w:eastAsia="zh-CN" w:bidi="ar"/>
        </w:rPr>
        <w:t>：内置</w:t>
      </w:r>
      <w:r>
        <w:rPr>
          <w:rFonts w:hint="default" w:asciiTheme="minorAscii" w:hAnsiTheme="minorAscii" w:eastAsiaTheme="minorEastAsia" w:cstheme="minorEastAsia"/>
          <w:kern w:val="0"/>
          <w:sz w:val="24"/>
          <w:szCs w:val="24"/>
          <w:lang w:val="en-US" w:eastAsia="zh-CN" w:bidi="ar"/>
        </w:rPr>
        <w:t>自适应噪声抑制算法，可过滤空调、投影等环境背景噪声；配备回声消除功能，解决远程视频会议中因扬声器声音回传导致的啸叫、回声问题；部分系统支持射频干扰过滤，避免无线麦克风与其他无线设备的信号冲突。</w:t>
      </w:r>
    </w:p>
    <w:p>
      <w:pPr>
        <w:keepNext w:val="0"/>
        <w:keepLines w:val="0"/>
        <w:pageBreakBefore w:val="0"/>
        <w:widowControl/>
        <w:suppressLineNumbers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rPr>
      </w:pPr>
      <w:r>
        <w:rPr>
          <w:rStyle w:val="21"/>
          <w:rFonts w:hint="default" w:asciiTheme="minorAscii" w:hAnsiTheme="minorAscii" w:eastAsiaTheme="minorEastAsia" w:cstheme="minorEastAsia"/>
          <w:b w:val="0"/>
          <w:bCs/>
          <w:kern w:val="0"/>
          <w:sz w:val="24"/>
          <w:szCs w:val="24"/>
          <w:lang w:val="en-US" w:eastAsia="zh-CN" w:bidi="ar"/>
        </w:rPr>
        <w:t>音质精准优化</w:t>
      </w:r>
      <w:r>
        <w:rPr>
          <w:rFonts w:hint="default" w:asciiTheme="minorAscii" w:hAnsiTheme="minorAscii" w:eastAsiaTheme="minorEastAsia" w:cstheme="minorEastAsia"/>
          <w:b w:val="0"/>
          <w:bCs/>
          <w:kern w:val="0"/>
          <w:sz w:val="24"/>
          <w:szCs w:val="24"/>
          <w:lang w:val="en-US" w:eastAsia="zh-CN" w:bidi="ar"/>
        </w:rPr>
        <w:t>：通过</w:t>
      </w:r>
      <w:r>
        <w:rPr>
          <w:rFonts w:hint="default" w:asciiTheme="minorAscii" w:hAnsiTheme="minorAscii" w:eastAsiaTheme="minorEastAsia" w:cstheme="minorEastAsia"/>
          <w:kern w:val="0"/>
          <w:sz w:val="24"/>
          <w:szCs w:val="24"/>
          <w:lang w:val="en-US" w:eastAsia="zh-CN" w:bidi="ar"/>
        </w:rPr>
        <w:t>均衡器（EQ）调节不同频段音频，可针对人声优化中高频增益，提升发言清晰度；具备音量自动增益控制（AGC）功能，自动平衡不同发言者的音量差异，避免因发言者距离麦克风远近导致的音量忽大忽小。</w:t>
      </w:r>
    </w:p>
    <w:p>
      <w:pPr>
        <w:keepNext w:val="0"/>
        <w:keepLines w:val="0"/>
        <w:pageBreakBefore w:val="0"/>
        <w:widowControl/>
        <w:suppressLineNumbers w:val="0"/>
        <w:kinsoku/>
        <w:wordWrap/>
        <w:overflowPunct/>
        <w:topLinePunct w:val="0"/>
        <w:autoSpaceDE/>
        <w:autoSpaceDN/>
        <w:bidi w:val="0"/>
        <w:adjustRightInd w:val="0"/>
        <w:spacing w:line="300" w:lineRule="exact"/>
        <w:ind w:firstLine="480" w:firstLineChars="200"/>
        <w:jc w:val="left"/>
        <w:textAlignment w:val="auto"/>
        <w:rPr>
          <w:rStyle w:val="21"/>
          <w:rFonts w:hint="default" w:asciiTheme="minorAscii" w:hAnsiTheme="minorAscii" w:eastAsiaTheme="minorEastAsia" w:cstheme="minorEastAsia"/>
          <w:b w:val="0"/>
          <w:bCs/>
          <w:kern w:val="0"/>
          <w:sz w:val="24"/>
          <w:szCs w:val="24"/>
          <w:lang w:val="en-US" w:eastAsia="zh-CN" w:bidi="ar"/>
        </w:rPr>
      </w:pPr>
      <w:r>
        <w:rPr>
          <w:rStyle w:val="21"/>
          <w:rFonts w:hint="default" w:asciiTheme="minorAscii" w:hAnsiTheme="minorAscii" w:eastAsiaTheme="minorEastAsia" w:cstheme="minorEastAsia"/>
          <w:b w:val="0"/>
          <w:bCs/>
          <w:kern w:val="0"/>
          <w:sz w:val="24"/>
          <w:szCs w:val="24"/>
          <w:lang w:val="en-US" w:eastAsia="zh-CN" w:bidi="ar"/>
        </w:rPr>
        <w:t>信号延迟控制：采用低延迟信号处理技术，确保音频采集、处理到输出的延迟控制在人耳可接受范围（通常≤50ms），避免发言与音频输出不同步的“回声感”，适配实时演讲、问答等场景。</w:t>
      </w:r>
    </w:p>
    <w:p>
      <w:pPr>
        <w:keepNext w:val="0"/>
        <w:keepLines w:val="0"/>
        <w:pageBreakBefore w:val="0"/>
        <w:widowControl/>
        <w:suppressLineNumbers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kern w:val="0"/>
          <w:sz w:val="24"/>
          <w:szCs w:val="24"/>
          <w:lang w:val="en-US" w:eastAsia="zh-CN" w:bidi="ar"/>
        </w:rPr>
      </w:pPr>
      <w:r>
        <w:rPr>
          <w:rFonts w:hint="default" w:asciiTheme="minorAscii" w:hAnsiTheme="minorAscii" w:eastAsiaTheme="minorEastAsia" w:cstheme="minorEastAsia"/>
          <w:b/>
          <w:bCs/>
          <w:kern w:val="0"/>
          <w:sz w:val="24"/>
          <w:szCs w:val="24"/>
          <w:lang w:val="en-US" w:eastAsia="zh-CN" w:bidi="ar"/>
        </w:rPr>
        <w:t>3）音频放大与输出功能</w:t>
      </w:r>
    </w:p>
    <w:p>
      <w:pPr>
        <w:keepNext w:val="0"/>
        <w:keepLines w:val="0"/>
        <w:pageBreakBefore w:val="0"/>
        <w:widowControl/>
        <w:suppressLineNumbers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kern w:val="0"/>
          <w:sz w:val="24"/>
          <w:szCs w:val="24"/>
          <w:lang w:val="en-US" w:eastAsia="zh-CN" w:bidi="ar"/>
        </w:rPr>
        <w:t>该模块是系统的“声音出口”，通过功率放大与精准扩声，确保会场各区域音频覆盖均匀，参会者清晰聆听：</w:t>
      </w:r>
    </w:p>
    <w:p>
      <w:pPr>
        <w:keepNext w:val="0"/>
        <w:keepLines w:val="0"/>
        <w:pageBreakBefore w:val="0"/>
        <w:widowControl/>
        <w:suppressLineNumbers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kern w:val="0"/>
          <w:sz w:val="24"/>
          <w:szCs w:val="24"/>
          <w:lang w:val="en-US" w:eastAsia="zh-CN" w:bidi="ar"/>
        </w:rPr>
      </w:pPr>
      <w:r>
        <w:rPr>
          <w:rFonts w:hint="default" w:asciiTheme="minorAscii" w:hAnsiTheme="minorAscii" w:eastAsiaTheme="minorEastAsia" w:cstheme="minorEastAsia"/>
          <w:kern w:val="0"/>
          <w:sz w:val="24"/>
          <w:szCs w:val="24"/>
          <w:lang w:val="en-US" w:eastAsia="zh-CN" w:bidi="ar"/>
        </w:rPr>
        <w:t>功率适配与稳定输出：功放设备可根据扬声器数量、会场面积匹配输出功率，小型会议室（20-50㎡）可搭配小型集成功放，大型报告厅（500㎡以上）需配置多通道大功率功放，确保音频覆盖无死角；具备过载保护功能，避免设备因功率过大损坏。</w:t>
      </w:r>
    </w:p>
    <w:p>
      <w:pPr>
        <w:keepNext w:val="0"/>
        <w:keepLines w:val="0"/>
        <w:pageBreakBefore w:val="0"/>
        <w:widowControl/>
        <w:suppressLineNumbers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kern w:val="0"/>
          <w:sz w:val="24"/>
          <w:szCs w:val="24"/>
          <w:lang w:val="en-US" w:eastAsia="zh-CN" w:bidi="ar"/>
        </w:rPr>
      </w:pPr>
      <w:r>
        <w:rPr>
          <w:rFonts w:hint="default" w:asciiTheme="minorAscii" w:hAnsiTheme="minorAscii" w:eastAsiaTheme="minorEastAsia" w:cstheme="minorEastAsia"/>
          <w:kern w:val="0"/>
          <w:sz w:val="24"/>
          <w:szCs w:val="24"/>
          <w:lang w:val="en-US" w:eastAsia="zh-CN" w:bidi="ar"/>
        </w:rPr>
        <w:t>多区域均衡覆盖：支持分区扩声功能，可根据会场布局（如主会场、分会场、VIP区域）调整不同区域的扬声器音量，确保偏远角落与前排区域音质一致；扬声器类型灵活适配，室内会议室常用吸顶扬声器、壁挂音箱，大型会场搭配专业音柱、线阵列扬声器增强穿透力。</w:t>
      </w:r>
    </w:p>
    <w:p>
      <w:pPr>
        <w:keepNext w:val="0"/>
        <w:keepLines w:val="0"/>
        <w:pageBreakBefore w:val="0"/>
        <w:widowControl/>
        <w:suppressLineNumbers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kern w:val="0"/>
          <w:sz w:val="24"/>
          <w:szCs w:val="24"/>
          <w:lang w:val="en-US" w:eastAsia="zh-CN" w:bidi="ar"/>
        </w:rPr>
      </w:pPr>
      <w:r>
        <w:rPr>
          <w:rFonts w:hint="default" w:asciiTheme="minorAscii" w:hAnsiTheme="minorAscii" w:eastAsiaTheme="minorEastAsia" w:cstheme="minorEastAsia"/>
          <w:kern w:val="0"/>
          <w:sz w:val="24"/>
          <w:szCs w:val="24"/>
          <w:lang w:val="en-US" w:eastAsia="zh-CN" w:bidi="ar"/>
        </w:rPr>
        <w:t>多格式音频输出：除现场扩声外，支持音频信号同步输出至录音设备、直播设备，实现会议录音存档、线上直播音频同步，适配需要会后复盘或线上转播的会议场景。</w:t>
      </w:r>
    </w:p>
    <w:p>
      <w:pPr>
        <w:pStyle w:val="10"/>
        <w:keepNext w:val="0"/>
        <w:keepLines w:val="0"/>
        <w:pageBreakBefore w:val="0"/>
        <w:widowControl w:val="0"/>
        <w:kinsoku/>
        <w:wordWrap/>
        <w:overflowPunct/>
        <w:topLinePunct w:val="0"/>
        <w:autoSpaceDE/>
        <w:autoSpaceDN/>
        <w:bidi w:val="0"/>
        <w:adjustRightInd w:val="0"/>
        <w:snapToGrid/>
        <w:spacing w:before="0" w:after="167" w:afterLines="50" w:line="300" w:lineRule="exact"/>
        <w:ind w:left="0" w:leftChars="0" w:firstLine="0" w:firstLineChars="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无纸化会议系统</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会议无纸化系统围绕会议全流程提供数字化解决方案，核心功能覆盖会前筹备、会中互动、会后归档三大阶段，兼顾高效性、安全性与易用性：</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1）会前筹备功能</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支持会议创建与议程编排，可设置会议时间、参会人员、议程顺序及每个环节时长。</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实现会议资料（文档、图片、视频等）加密上传与批量分发，支持按参会角色精准推送，避免资料外泄。</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提供线上签到预约功能，参会者可提前确认参会状态，系统自动统计参会人数与未到人员名单。</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支持会议设备（电子终端、投屏设备）提前调试与权限配置，确保会议顺利启动。</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2）会中互动功能</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电子终端实时同步会议资料，支持文档缩放、翻页、高亮批注、手写笔记，批注内容可实时共享给其他参会者。</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具备互动表决、问卷调研功能，参会者匿名或实名投票后，系统自动生成统计结果并可视化展示。</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支持发言请求与权限管理，主持人可控制发言顺序，配合音频扩声系统实现清晰发言传递。</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提供投屏共享功能，可将终端批注内容、本地文件一键投屏至大屏，支持多终端内容同步展示。</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内置即时通讯模块，参会者可一对一或分组发送文字消息，实现私下沟通不干扰会议进程。</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3）会后归档功能</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自动收集会议过程中的批注、笔记、表决结果等数据，生成会议纪要模板，支持人工编辑后导出。</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会议资料可按权限归档至云端或本地服务器，支持分类检索与历史会议回溯，方便后续查阅。</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支持敏感资料一键销毁或权限回收，避免会议内容外泄，同时保留操作日志便于追溯。</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可统计会议数据（参会率、互动参与度、资料查阅次数等），为会议优化提供数据支撑。</w:t>
      </w:r>
    </w:p>
    <w:p>
      <w:pPr>
        <w:pStyle w:val="10"/>
        <w:keepNext w:val="0"/>
        <w:keepLines w:val="0"/>
        <w:pageBreakBefore w:val="0"/>
        <w:widowControl w:val="0"/>
        <w:kinsoku/>
        <w:wordWrap/>
        <w:overflowPunct/>
        <w:topLinePunct w:val="0"/>
        <w:autoSpaceDE/>
        <w:autoSpaceDN/>
        <w:bidi w:val="0"/>
        <w:adjustRightInd w:val="0"/>
        <w:snapToGrid/>
        <w:spacing w:before="0" w:after="167" w:afterLines="50" w:line="300" w:lineRule="exact"/>
        <w:ind w:left="0" w:leftChars="0" w:firstLine="0" w:firstLineChars="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中控系统</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会议中控系统的核心功能是集中管控会议全流程设备与信号，覆盖设备控制、信号处理、场景管理等核心场景，具体功能如下：</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 设备集中控制</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统一管控音频设备（麦克风、音响、功放）、视频设备（摄像机、投影仪、显示器）、环境设备（灯光、窗帘、空调）。</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支持一键开启 / 关闭所有设备，避免逐个操作的繁琐，降低操作门槛。</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 信号切换与传输</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整合多路视频信号（电脑、摄像机、U 盘）和音频信号，实现快速切换展示。</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支持信号远距离传输，保证高清画质和无延迟音频，适配大型会议室或多会场联动场景。</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 场景模式预设与调用</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可预设多种会议场景（如演讲模式、讨论模式、视频会议模式），包含设备参数、信号布局、环境设置等配置。</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会议中一键调用对应场景，无需重复调整设备，提升会议效率。</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 远程与智能控制</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支持平板、手机等移动终端无线控制，也可通过墙面控制面板或电脑软件操作。</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5） 状态监控与故障提示</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实时显示各设备运行状态（如麦克风是否开启、投影是否连接），便于及时发现问题。</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设备故障时自动提示，部分系统支持远程诊断，降低维护成本。</w:t>
      </w:r>
    </w:p>
    <w:p>
      <w:pPr>
        <w:pStyle w:val="10"/>
        <w:keepNext w:val="0"/>
        <w:keepLines w:val="0"/>
        <w:pageBreakBefore w:val="0"/>
        <w:widowControl w:val="0"/>
        <w:kinsoku/>
        <w:wordWrap/>
        <w:overflowPunct/>
        <w:topLinePunct w:val="0"/>
        <w:autoSpaceDE/>
        <w:autoSpaceDN/>
        <w:bidi w:val="0"/>
        <w:adjustRightInd w:val="0"/>
        <w:snapToGrid/>
        <w:spacing w:before="0" w:after="0" w:line="300" w:lineRule="exact"/>
        <w:ind w:left="0" w:leftChars="0" w:firstLine="0" w:firstLineChars="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远程视频会议系统</w:t>
      </w:r>
    </w:p>
    <w:p>
      <w:pPr>
        <w:pStyle w:val="11"/>
        <w:keepNext w:val="0"/>
        <w:keepLines w:val="0"/>
        <w:pageBreakBefore w:val="0"/>
        <w:widowControl w:val="0"/>
        <w:kinsoku/>
        <w:wordWrap/>
        <w:overflowPunct/>
        <w:topLinePunct w:val="0"/>
        <w:autoSpaceDE/>
        <w:autoSpaceDN/>
        <w:bidi w:val="0"/>
        <w:adjustRightInd w:val="0"/>
        <w:snapToGrid/>
        <w:spacing w:before="0" w:after="167" w:afterLines="50" w:line="300" w:lineRule="exact"/>
        <w:ind w:left="0" w:leftChars="0" w:firstLine="0" w:firstLineChars="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系统架构</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如图</w:t>
      </w:r>
      <w:r>
        <w:rPr>
          <w:rFonts w:hint="default" w:asciiTheme="minorAscii" w:hAnsiTheme="minorAscii" w:eastAsiaTheme="minorEastAsia" w:cstheme="minorEastAsia"/>
          <w:color w:val="auto"/>
          <w:sz w:val="24"/>
          <w:szCs w:val="24"/>
          <w:lang w:val="en-US" w:eastAsia="zh-CN"/>
        </w:rPr>
        <w:t>30</w:t>
      </w:r>
      <w:r>
        <w:rPr>
          <w:rFonts w:hint="default" w:asciiTheme="minorAscii" w:hAnsiTheme="minorAscii" w:eastAsiaTheme="minorEastAsia" w:cstheme="minorEastAsia"/>
          <w:color w:val="auto"/>
          <w:sz w:val="24"/>
          <w:szCs w:val="24"/>
        </w:rPr>
        <w:t>，本方案在</w:t>
      </w:r>
      <w:r>
        <w:rPr>
          <w:rFonts w:hint="default" w:asciiTheme="minorAscii" w:hAnsiTheme="minorAscii" w:eastAsiaTheme="minorEastAsia" w:cstheme="minorEastAsia"/>
          <w:color w:val="auto"/>
          <w:sz w:val="24"/>
          <w:szCs w:val="24"/>
          <w:lang w:val="en-US" w:eastAsia="zh-CN"/>
        </w:rPr>
        <w:t>市局</w:t>
      </w:r>
      <w:r>
        <w:rPr>
          <w:rFonts w:hint="default" w:asciiTheme="minorAscii" w:hAnsiTheme="minorAscii" w:eastAsiaTheme="minorEastAsia" w:cstheme="minorEastAsia"/>
          <w:color w:val="auto"/>
          <w:sz w:val="24"/>
          <w:szCs w:val="24"/>
        </w:rPr>
        <w:t>放置多点控制单元MCU，作为系统控制中心，同时在</w:t>
      </w:r>
      <w:r>
        <w:rPr>
          <w:rFonts w:hint="default" w:asciiTheme="minorAscii" w:hAnsiTheme="minorAscii" w:eastAsiaTheme="minorEastAsia" w:cstheme="minorEastAsia"/>
          <w:color w:val="auto"/>
          <w:sz w:val="24"/>
          <w:szCs w:val="24"/>
          <w:lang w:val="en-US" w:eastAsia="zh-CN"/>
        </w:rPr>
        <w:t>利州分中心</w:t>
      </w:r>
      <w:r>
        <w:rPr>
          <w:rFonts w:hint="default" w:asciiTheme="minorAscii" w:hAnsiTheme="minorAscii" w:eastAsiaTheme="minorEastAsia" w:cstheme="minorEastAsia"/>
          <w:color w:val="auto"/>
          <w:sz w:val="24"/>
          <w:szCs w:val="24"/>
        </w:rPr>
        <w:t>、</w:t>
      </w:r>
      <w:r>
        <w:rPr>
          <w:rFonts w:hint="default" w:asciiTheme="minorAscii" w:hAnsiTheme="minorAscii" w:eastAsiaTheme="minorEastAsia" w:cstheme="minorEastAsia"/>
          <w:color w:val="auto"/>
          <w:sz w:val="24"/>
          <w:szCs w:val="24"/>
          <w:lang w:val="en-US" w:eastAsia="zh-CN"/>
        </w:rPr>
        <w:t>青川分中心</w:t>
      </w:r>
      <w:r>
        <w:rPr>
          <w:rFonts w:hint="default" w:asciiTheme="minorAscii" w:hAnsiTheme="minorAscii" w:eastAsiaTheme="minorEastAsia" w:cstheme="minorEastAsia"/>
          <w:color w:val="auto"/>
          <w:sz w:val="24"/>
          <w:szCs w:val="24"/>
        </w:rPr>
        <w:t>各放置一套视频会议系统（1终端+</w:t>
      </w:r>
      <w:r>
        <w:rPr>
          <w:rFonts w:hint="default" w:asciiTheme="minorAscii" w:hAnsiTheme="minorAscii" w:eastAsiaTheme="minorEastAsia" w:cstheme="minorEastAsia"/>
          <w:color w:val="auto"/>
          <w:sz w:val="24"/>
          <w:szCs w:val="24"/>
          <w:lang w:val="en-US" w:eastAsia="zh-CN"/>
        </w:rPr>
        <w:t>2</w:t>
      </w:r>
      <w:r>
        <w:rPr>
          <w:rFonts w:hint="default" w:asciiTheme="minorAscii" w:hAnsiTheme="minorAscii" w:eastAsiaTheme="minorEastAsia" w:cstheme="minorEastAsia"/>
          <w:color w:val="auto"/>
          <w:sz w:val="24"/>
          <w:szCs w:val="24"/>
        </w:rPr>
        <w:t>摄像机），</w:t>
      </w:r>
      <w:r>
        <w:rPr>
          <w:rFonts w:hint="default" w:asciiTheme="minorAscii" w:hAnsiTheme="minorAscii" w:eastAsiaTheme="minorEastAsia" w:cstheme="minorEastAsia"/>
          <w:color w:val="auto"/>
          <w:sz w:val="24"/>
          <w:szCs w:val="24"/>
          <w:lang w:val="en-US" w:eastAsia="zh-CN"/>
        </w:rPr>
        <w:t>在</w:t>
      </w:r>
      <w:r>
        <w:rPr>
          <w:rFonts w:hint="default" w:asciiTheme="minorAscii" w:hAnsiTheme="minorAscii" w:eastAsiaTheme="minorEastAsia" w:cstheme="minorEastAsia"/>
          <w:color w:val="auto"/>
          <w:sz w:val="24"/>
          <w:szCs w:val="24"/>
        </w:rPr>
        <w:t>昭化、剑阁、苍溪局各放置一套视频会议系统（1终端+</w:t>
      </w:r>
      <w:r>
        <w:rPr>
          <w:rFonts w:hint="default" w:asciiTheme="minorAscii" w:hAnsiTheme="minorAscii" w:eastAsiaTheme="minorEastAsia" w:cstheme="minorEastAsia"/>
          <w:color w:val="auto"/>
          <w:sz w:val="24"/>
          <w:szCs w:val="24"/>
          <w:lang w:val="en-US" w:eastAsia="zh-CN"/>
        </w:rPr>
        <w:t>1</w:t>
      </w:r>
      <w:r>
        <w:rPr>
          <w:rFonts w:hint="default" w:asciiTheme="minorAscii" w:hAnsiTheme="minorAscii" w:eastAsiaTheme="minorEastAsia" w:cstheme="minorEastAsia"/>
          <w:color w:val="auto"/>
          <w:sz w:val="24"/>
          <w:szCs w:val="24"/>
        </w:rPr>
        <w:t>摄像机），整个网络传输依靠</w:t>
      </w:r>
      <w:r>
        <w:rPr>
          <w:rFonts w:hint="default" w:asciiTheme="minorAscii" w:hAnsiTheme="minorAscii" w:eastAsiaTheme="minorEastAsia" w:cstheme="minorEastAsia"/>
          <w:color w:val="auto"/>
          <w:sz w:val="24"/>
          <w:szCs w:val="24"/>
          <w:lang w:val="en-US" w:eastAsia="zh-CN"/>
        </w:rPr>
        <w:t>电子政务外</w:t>
      </w:r>
      <w:r>
        <w:rPr>
          <w:rFonts w:hint="default" w:asciiTheme="minorAscii" w:hAnsiTheme="minorAscii" w:eastAsiaTheme="minorEastAsia" w:cstheme="minorEastAsia"/>
          <w:color w:val="auto"/>
          <w:sz w:val="24"/>
          <w:szCs w:val="24"/>
        </w:rPr>
        <w:t>网，构成一个星型网络拓扑结构，具体业务流程如下：</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市局总指挥</w:t>
      </w:r>
      <w:r>
        <w:rPr>
          <w:rFonts w:hint="default" w:asciiTheme="minorAscii" w:hAnsiTheme="minorAscii" w:eastAsiaTheme="minorEastAsia" w:cstheme="minorEastAsia"/>
          <w:color w:val="auto"/>
          <w:sz w:val="24"/>
          <w:szCs w:val="24"/>
        </w:rPr>
        <w:t>中心：作为整个视频会议系统的控制中心，配置多点控制单元。通过IP线路与</w:t>
      </w:r>
      <w:r>
        <w:rPr>
          <w:rFonts w:hint="default" w:asciiTheme="minorAscii" w:hAnsiTheme="minorAscii" w:eastAsiaTheme="minorEastAsia" w:cstheme="minorEastAsia"/>
          <w:color w:val="auto"/>
          <w:sz w:val="24"/>
          <w:szCs w:val="24"/>
          <w:lang w:val="en-US" w:eastAsia="zh-CN"/>
        </w:rPr>
        <w:t>5</w:t>
      </w:r>
      <w:r>
        <w:rPr>
          <w:rFonts w:hint="default" w:asciiTheme="minorAscii" w:hAnsiTheme="minorAscii" w:eastAsiaTheme="minorEastAsia" w:cstheme="minorEastAsia"/>
          <w:color w:val="auto"/>
          <w:sz w:val="24"/>
          <w:szCs w:val="24"/>
        </w:rPr>
        <w:t>个会场连接。</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开电视会议时，接收来自各个会场会议终端的音视频码流，并对这些码流进行处理、转发，所有会议终端处都能接收到发言会场的码流，经解码输出到显示器就可还原发言会场的图像、声音。</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会议控制台、网管服务器、数字录像点播服务器等配套设备通过10/100M以太网接口连接到多点控制单元MCU上。会议控制台负责会议的召集、管理和结束等管理控制功能；网管服务器负责进行网络的参数设置和对网络运行情况进行监控；数字录像点播服务器负责会议录像，网络上的PC机可以通过WEB方式进行点播。</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本次配置的MCU可以实现</w:t>
      </w:r>
      <w:r>
        <w:rPr>
          <w:rFonts w:hint="default" w:asciiTheme="minorAscii" w:hAnsiTheme="minorAscii" w:eastAsiaTheme="minorEastAsia" w:cstheme="minorEastAsia"/>
          <w:color w:val="auto"/>
          <w:sz w:val="24"/>
          <w:szCs w:val="24"/>
          <w:lang w:val="en-US" w:eastAsia="zh-CN"/>
        </w:rPr>
        <w:t>多</w:t>
      </w:r>
      <w:r>
        <w:rPr>
          <w:rFonts w:hint="default" w:asciiTheme="minorAscii" w:hAnsiTheme="minorAscii" w:eastAsiaTheme="minorEastAsia" w:cstheme="minorEastAsia"/>
          <w:color w:val="auto"/>
          <w:sz w:val="24"/>
          <w:szCs w:val="24"/>
        </w:rPr>
        <w:t>组会议同时召开，可以提供16画面分割、48方混音等功能。</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lang w:val="en-US" w:eastAsia="zh-CN"/>
        </w:rPr>
        <w:t>5</w:t>
      </w:r>
      <w:r>
        <w:rPr>
          <w:rFonts w:hint="default" w:asciiTheme="minorAscii" w:hAnsiTheme="minorAscii" w:eastAsiaTheme="minorEastAsia" w:cstheme="minorEastAsia"/>
          <w:color w:val="auto"/>
          <w:sz w:val="24"/>
          <w:szCs w:val="24"/>
        </w:rPr>
        <w:t>个会场：</w:t>
      </w:r>
      <w:r>
        <w:rPr>
          <w:rFonts w:hint="default" w:asciiTheme="minorAscii" w:hAnsiTheme="minorAscii" w:eastAsiaTheme="minorEastAsia" w:cstheme="minorEastAsia"/>
          <w:color w:val="auto"/>
          <w:sz w:val="24"/>
          <w:szCs w:val="24"/>
          <w:lang w:val="en-US" w:eastAsia="zh-CN"/>
        </w:rPr>
        <w:t>5</w:t>
      </w:r>
      <w:r>
        <w:rPr>
          <w:rFonts w:hint="default" w:asciiTheme="minorAscii" w:hAnsiTheme="minorAscii" w:eastAsiaTheme="minorEastAsia" w:cstheme="minorEastAsia"/>
          <w:color w:val="auto"/>
          <w:sz w:val="24"/>
          <w:szCs w:val="24"/>
        </w:rPr>
        <w:t>个会场分别配置高清视频会议终端一台，该终端支持64Kbps-</w:t>
      </w:r>
      <w:r>
        <w:rPr>
          <w:rFonts w:hint="default" w:asciiTheme="minorAscii" w:hAnsiTheme="minorAscii" w:eastAsiaTheme="minorEastAsia" w:cstheme="minorEastAsia"/>
          <w:color w:val="auto"/>
          <w:sz w:val="24"/>
          <w:szCs w:val="24"/>
          <w:lang w:val="en-US" w:eastAsia="zh-CN"/>
        </w:rPr>
        <w:t>16</w:t>
      </w:r>
      <w:r>
        <w:rPr>
          <w:rFonts w:hint="default" w:asciiTheme="minorAscii" w:hAnsiTheme="minorAscii" w:eastAsiaTheme="minorEastAsia" w:cstheme="minorEastAsia"/>
          <w:color w:val="auto"/>
          <w:sz w:val="24"/>
          <w:szCs w:val="24"/>
        </w:rPr>
        <w:t>Mbps会议速率，与中心点MCU通过IP线路连接，配置会议摄像机和话筒，音视频信号送到视频终端进行编码，再通过网络传送到中心进行转发、控制等处理，视频终端解码输出端口连接电视，音频输出信号通过调音台混音、功放放大，再送到音箱。</w:t>
      </w:r>
    </w:p>
    <w:p>
      <w:pPr>
        <w:pStyle w:val="11"/>
        <w:pageBreakBefore w:val="0"/>
        <w:kinsoku/>
        <w:wordWrap/>
        <w:overflowPunct/>
        <w:topLinePunct w:val="0"/>
        <w:autoSpaceDE/>
        <w:autoSpaceDN/>
        <w:bidi w:val="0"/>
        <w:adjustRightInd w:val="0"/>
        <w:spacing w:before="0" w:after="0" w:line="300" w:lineRule="exact"/>
        <w:ind w:left="0" w:leftChars="0" w:firstLine="0" w:firstLineChars="0"/>
        <w:jc w:val="left"/>
        <w:textAlignment w:val="auto"/>
        <w:rPr>
          <w:rFonts w:hint="default" w:asciiTheme="minorAscii" w:hAnsiTheme="minorAscii" w:eastAsiaTheme="minorEastAsia" w:cstheme="minorEastAsia"/>
          <w:b/>
          <w:bCs/>
          <w:color w:val="auto"/>
          <w:sz w:val="24"/>
          <w:szCs w:val="24"/>
        </w:rPr>
      </w:pPr>
      <w:bookmarkStart w:id="87" w:name="_Toc158047246"/>
      <w:bookmarkStart w:id="88" w:name="_Toc503989649"/>
      <w:r>
        <w:rPr>
          <w:rFonts w:hint="default" w:asciiTheme="minorAscii" w:hAnsiTheme="minorAscii" w:eastAsiaTheme="minorEastAsia" w:cstheme="minorEastAsia"/>
          <w:b/>
          <w:bCs/>
          <w:color w:val="auto"/>
          <w:sz w:val="24"/>
          <w:szCs w:val="24"/>
        </w:rPr>
        <w:t>视频会议系统功能及应用</w:t>
      </w:r>
      <w:bookmarkEnd w:id="87"/>
      <w:bookmarkEnd w:id="88"/>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bookmarkStart w:id="89" w:name="_Toc121650379"/>
      <w:bookmarkStart w:id="90" w:name="_Toc158047247"/>
      <w:r>
        <w:rPr>
          <w:rFonts w:hint="default" w:asciiTheme="minorAscii" w:hAnsiTheme="minorAscii" w:eastAsiaTheme="minorEastAsia" w:cstheme="minorEastAsia"/>
          <w:b/>
          <w:bCs/>
          <w:color w:val="auto"/>
          <w:sz w:val="24"/>
          <w:szCs w:val="24"/>
          <w:lang w:val="en-US" w:eastAsia="zh-CN"/>
        </w:rPr>
        <w:t>1）</w:t>
      </w:r>
      <w:r>
        <w:rPr>
          <w:rFonts w:hint="default" w:asciiTheme="minorAscii" w:hAnsiTheme="minorAscii" w:eastAsiaTheme="minorEastAsia" w:cstheme="minorEastAsia"/>
          <w:b/>
          <w:bCs/>
          <w:color w:val="auto"/>
          <w:sz w:val="24"/>
          <w:szCs w:val="24"/>
        </w:rPr>
        <w:t>召开远程会议</w:t>
      </w:r>
      <w:bookmarkEnd w:id="89"/>
      <w:bookmarkEnd w:id="90"/>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召开远程电视会议是本系统的基本应用功能，基本模式是首先将分布在异地的各个会场通过通信网络连接起来，各个会议终端采集各会场视音频信号并进行相应的编码压缩，然后通过网络传输将数字化的视音频码流送到MCU，进而由MCU对视音频码流进行处理，并将主会场或发言会场的视音频码流转发到每个分会场，由分会场终端再进行解码输出到会场显示出来。</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本项目系统设计结构采用MCU到终端星形连接方式,可召开单组会议、多组会议、桌面会议等多种会议模式。会议的形式可以是点对点的，也可以是多点的,利用MCU对混音功能的支持，可实现会前点名、会议讨论等灵活的应用功能。</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在远程会议应用中，可支持4种会议控制方式：主席控制、导演控制、自动轮询以及语音激励,根据会议的不同需要可选择不同的会议控制方式。</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a</w:t>
      </w:r>
      <w:r>
        <w:rPr>
          <w:rFonts w:hint="default" w:asciiTheme="minorAscii" w:hAnsiTheme="minorAscii" w:eastAsiaTheme="minorEastAsia" w:cstheme="minorEastAsia"/>
          <w:b/>
          <w:bCs/>
          <w:color w:val="auto"/>
          <w:sz w:val="24"/>
          <w:szCs w:val="24"/>
          <w:lang w:val="en-US" w:eastAsia="zh-CN"/>
        </w:rPr>
        <w:t>.</w:t>
      </w:r>
      <w:r>
        <w:rPr>
          <w:rFonts w:hint="default" w:asciiTheme="minorAscii" w:hAnsiTheme="minorAscii" w:eastAsiaTheme="minorEastAsia" w:cstheme="minorEastAsia"/>
          <w:b/>
          <w:bCs/>
          <w:color w:val="auto"/>
          <w:sz w:val="24"/>
          <w:szCs w:val="24"/>
        </w:rPr>
        <w:t>主席控制模式</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任意一个开会会场经管理人员准许均能在任意时间申请成为主席即主会场,一个时刻只能有一个主席，成为主席的会场可以点名某一个分会场发言,这样其他所有会场都看到发言会场的图像。主席还可以选择自己想要观看的会场，同时具有强制退出任一会场或结束会议及远遥发言会场摄像头动作的能力。非主席会场若要发言，可以向主席会场提出申请，申请的信号会在主席会场发出指示，由主会场批准发言会场。</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主会场可遥控操作参加会议的全部分会场的摄像机的动作，调整画面内容和清晰度，控制摄像机摇摆、倾斜、变焦、聚焦等动作,也可切换各分会场的视频源,分会场只能通过遥控器或PC机终端来控制本端的摄像机或切换本端的视频源。一般当主席允许某分会场发言或点名某分会场发言时，图像和声音将自动切换到该会场。</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b</w:t>
      </w:r>
      <w:r>
        <w:rPr>
          <w:rFonts w:hint="default" w:asciiTheme="minorAscii" w:hAnsiTheme="minorAscii" w:eastAsiaTheme="minorEastAsia" w:cstheme="minorEastAsia"/>
          <w:b/>
          <w:bCs/>
          <w:color w:val="auto"/>
          <w:sz w:val="24"/>
          <w:szCs w:val="24"/>
          <w:lang w:val="en-US" w:eastAsia="zh-CN"/>
        </w:rPr>
        <w:t>.</w:t>
      </w:r>
      <w:r>
        <w:rPr>
          <w:rFonts w:hint="default" w:asciiTheme="minorAscii" w:hAnsiTheme="minorAscii" w:eastAsiaTheme="minorEastAsia" w:cstheme="minorEastAsia"/>
          <w:b/>
          <w:bCs/>
          <w:color w:val="auto"/>
          <w:sz w:val="24"/>
          <w:szCs w:val="24"/>
        </w:rPr>
        <w:t>导演控制模式</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在没有主席的情况下，会议管理员通过会议控制台也能够控制会议的进程，管理员在会议控制台上选择需要发言的会场，该会场的声音和图像即可广播给其他分会场。</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c</w:t>
      </w:r>
      <w:r>
        <w:rPr>
          <w:rFonts w:hint="default" w:asciiTheme="minorAscii" w:hAnsiTheme="minorAscii" w:eastAsiaTheme="minorEastAsia" w:cstheme="minorEastAsia"/>
          <w:b/>
          <w:bCs/>
          <w:color w:val="auto"/>
          <w:sz w:val="24"/>
          <w:szCs w:val="24"/>
          <w:lang w:val="en-US" w:eastAsia="zh-CN"/>
        </w:rPr>
        <w:t>.</w:t>
      </w:r>
      <w:r>
        <w:rPr>
          <w:rFonts w:hint="default" w:asciiTheme="minorAscii" w:hAnsiTheme="minorAscii" w:eastAsiaTheme="minorEastAsia" w:cstheme="minorEastAsia"/>
          <w:b/>
          <w:bCs/>
          <w:color w:val="auto"/>
          <w:sz w:val="24"/>
          <w:szCs w:val="24"/>
        </w:rPr>
        <w:t>自动轮询</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通过设置循环切换的周期和需自动轮询的会场名称，即可将这些会场图像依次循环发送到其他各会场。</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r>
        <w:rPr>
          <w:rFonts w:hint="default" w:asciiTheme="minorAscii" w:hAnsiTheme="minorAscii" w:eastAsiaTheme="minorEastAsia" w:cstheme="minorEastAsia"/>
          <w:b/>
          <w:bCs/>
          <w:color w:val="auto"/>
          <w:sz w:val="24"/>
          <w:szCs w:val="24"/>
        </w:rPr>
        <w:t>d</w:t>
      </w:r>
      <w:r>
        <w:rPr>
          <w:rFonts w:hint="default" w:asciiTheme="minorAscii" w:hAnsiTheme="minorAscii" w:eastAsiaTheme="minorEastAsia" w:cstheme="minorEastAsia"/>
          <w:b/>
          <w:bCs/>
          <w:color w:val="auto"/>
          <w:sz w:val="24"/>
          <w:szCs w:val="24"/>
          <w:lang w:val="en-US" w:eastAsia="zh-CN"/>
        </w:rPr>
        <w:t>.</w:t>
      </w:r>
      <w:r>
        <w:rPr>
          <w:rFonts w:hint="default" w:asciiTheme="minorAscii" w:hAnsiTheme="minorAscii" w:eastAsiaTheme="minorEastAsia" w:cstheme="minorEastAsia"/>
          <w:b/>
          <w:bCs/>
          <w:color w:val="auto"/>
          <w:sz w:val="24"/>
          <w:szCs w:val="24"/>
        </w:rPr>
        <w:t>语音激励</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根据与会者发音的强度和讲话时间长短选择最符合条件的发言者，将其画面发给所有分会场。</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bookmarkStart w:id="91" w:name="_Toc121650380"/>
      <w:bookmarkStart w:id="92" w:name="_Toc158047248"/>
      <w:r>
        <w:rPr>
          <w:rFonts w:hint="default" w:asciiTheme="minorAscii" w:hAnsiTheme="minorAscii" w:eastAsiaTheme="minorEastAsia" w:cstheme="minorEastAsia"/>
          <w:b/>
          <w:bCs/>
          <w:color w:val="auto"/>
          <w:sz w:val="24"/>
          <w:szCs w:val="24"/>
          <w:lang w:val="en-US" w:eastAsia="zh-CN"/>
        </w:rPr>
        <w:t>2）</w:t>
      </w:r>
      <w:r>
        <w:rPr>
          <w:rFonts w:hint="default" w:asciiTheme="minorAscii" w:hAnsiTheme="minorAscii" w:eastAsiaTheme="minorEastAsia" w:cstheme="minorEastAsia"/>
          <w:b/>
          <w:bCs/>
          <w:color w:val="auto"/>
          <w:sz w:val="24"/>
          <w:szCs w:val="24"/>
        </w:rPr>
        <w:t>召开分组会议</w:t>
      </w:r>
      <w:bookmarkEnd w:id="91"/>
      <w:bookmarkEnd w:id="92"/>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本项目通过MCU系统支持的多组会议功能，可以在该系统中同时召开多达64组的会议，会议组织形式可根据需要进行设置，各会议间互不干扰。</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color w:val="auto"/>
          <w:sz w:val="24"/>
          <w:szCs w:val="24"/>
        </w:rPr>
      </w:pPr>
      <w:bookmarkStart w:id="93" w:name="_Toc121650381"/>
      <w:bookmarkStart w:id="94" w:name="_Toc158047249"/>
      <w:r>
        <w:rPr>
          <w:rFonts w:hint="default" w:asciiTheme="minorAscii" w:hAnsiTheme="minorAscii" w:eastAsiaTheme="minorEastAsia" w:cstheme="minorEastAsia"/>
          <w:b/>
          <w:bCs/>
          <w:color w:val="auto"/>
          <w:sz w:val="24"/>
          <w:szCs w:val="24"/>
          <w:lang w:val="en-US" w:eastAsia="zh-CN"/>
        </w:rPr>
        <w:t>3）</w:t>
      </w:r>
      <w:r>
        <w:rPr>
          <w:rFonts w:hint="default" w:asciiTheme="minorAscii" w:hAnsiTheme="minorAscii" w:eastAsiaTheme="minorEastAsia" w:cstheme="minorEastAsia"/>
          <w:b/>
          <w:bCs/>
          <w:color w:val="auto"/>
          <w:sz w:val="24"/>
          <w:szCs w:val="24"/>
        </w:rPr>
        <w:t>召开自助式会议</w:t>
      </w:r>
      <w:bookmarkEnd w:id="93"/>
      <w:bookmarkEnd w:id="94"/>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bookmarkStart w:id="95" w:name="_Toc121650382"/>
      <w:r>
        <w:rPr>
          <w:rFonts w:hint="default" w:asciiTheme="minorAscii" w:hAnsiTheme="minorAscii" w:eastAsiaTheme="minorEastAsia" w:cstheme="minorEastAsia"/>
          <w:color w:val="auto"/>
          <w:sz w:val="24"/>
          <w:szCs w:val="24"/>
        </w:rPr>
        <w:t>通常会议采用中心MCU的会议控制台来实现召集、管理与控制，而各分会场仅有视频会议终端，无法控制中心MCU。为了便于自主召开会议，本项目视频会议系统支持自助式会议和主叫呼集会议，各会场仅需对终端进行操作即可召集会议，无需中心管理员干预。在操作方式上，可以采用遥控器呼叫，也可采用PC登录终端的终端控制台进行操作。几个用户可不经过中心MCU召开点对点会议，方便互相之间的交流和学习。</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bookmarkStart w:id="96" w:name="_Toc158047250"/>
      <w:r>
        <w:rPr>
          <w:rFonts w:hint="default" w:asciiTheme="minorAscii" w:hAnsiTheme="minorAscii" w:eastAsiaTheme="minorEastAsia" w:cstheme="minorEastAsia"/>
          <w:b/>
          <w:bCs/>
          <w:color w:val="auto"/>
          <w:sz w:val="24"/>
          <w:szCs w:val="24"/>
          <w:lang w:val="en-US" w:eastAsia="zh-CN"/>
        </w:rPr>
        <w:t>4）</w:t>
      </w:r>
      <w:r>
        <w:rPr>
          <w:rFonts w:hint="default" w:asciiTheme="minorAscii" w:hAnsiTheme="minorAscii" w:eastAsiaTheme="minorEastAsia" w:cstheme="minorEastAsia"/>
          <w:b/>
          <w:bCs/>
          <w:color w:val="auto"/>
          <w:sz w:val="24"/>
          <w:szCs w:val="24"/>
        </w:rPr>
        <w:t>桌面会议</w:t>
      </w:r>
      <w:bookmarkEnd w:id="96"/>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视频会议系统支持丰富的桌面会议扩展功能，为便于推广和应用，可采用软件＋办公网PC的形式实现桌面会议终端功能。系统支持两种桌面会议应用：交互式和单收式。交互式桌面终端需要在PC上配置USB摄像机和耳麦，作为分会场参加会议，既可收看收听发言会场图像和声音，也可通过USB摄像机与耳麦上传自己的图像与声音。单收式桌面终端可采用组播的方式实现发言会场图像与声音的接收。</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如果MCU可通过100M以太网连接各会场局域网，各局域网也可大量扩展交互式桌面终端应用。这些桌面终端在应用上即可支持PC点对点呼叫、也可支持多个PC参与的多点会议，而且还可支持PC与会议室型终端参与同一个会议。</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如果MCU与各局域网间带宽有限，则还不适于推广交互式桌面终端，但可利用高清视频会议终端的组播功能，将单收式桌面终端应用扩展到各局域网上。</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桌面终端采用H.323协议，支持64K－8M的会议速率，使用全中文操作界面，支持Windows 98、Windows 2000、Windows XP、Windows ME等多种操作系统，同时具有加入会议、退出会议、观看会场、静音、闭音等功能。</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利用该桌面终端，可实现预约式和自助式等多种灵活的桌面会议召开。预约式会议的召集采用虚拟会议室的方式，会议电视系统拥有128个虚拟会议室，会议召集者预先申请会议室，申请成功后得到会议室号码以及加入会议的密码，会议召集者将会议室号码、密码以及开会时间通知到各与会者，开会时间到后，各与会者点击约定的会议室，输入密码，即可进入会议室。进入会议室后，可以看到其它与会各方的状态。系统自动记录与会各方的到达和退出时间，自动形成会议出席记录单。自助式会议无需管理人员参与，通过会议室终端的遥控器、终端控制台或者桌面终端的操作界面，打开地址簿，选择呼叫对象，如其它会议室终端或桌面终端，将各与会者邀请加入会议。该操作只需在会议终端侧进行，不需要中心控制和介入。</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bookmarkStart w:id="97" w:name="_Toc158047251"/>
      <w:r>
        <w:rPr>
          <w:rFonts w:hint="default" w:asciiTheme="minorAscii" w:hAnsiTheme="minorAscii" w:eastAsiaTheme="minorEastAsia" w:cstheme="minorEastAsia"/>
          <w:b/>
          <w:bCs/>
          <w:color w:val="auto"/>
          <w:sz w:val="24"/>
          <w:szCs w:val="24"/>
          <w:lang w:val="en-US" w:eastAsia="zh-CN"/>
        </w:rPr>
        <w:t>5）</w:t>
      </w:r>
      <w:r>
        <w:rPr>
          <w:rFonts w:hint="default" w:asciiTheme="minorAscii" w:hAnsiTheme="minorAscii" w:eastAsiaTheme="minorEastAsia" w:cstheme="minorEastAsia"/>
          <w:b/>
          <w:bCs/>
          <w:color w:val="auto"/>
          <w:sz w:val="24"/>
          <w:szCs w:val="24"/>
        </w:rPr>
        <w:t>自动降速功能</w:t>
      </w:r>
      <w:bookmarkEnd w:id="97"/>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在H.320的情况下，当采用多条E1线路通信时，当其中某条E1线路发生故障，造成部分终端不可能按照会议指定速率进行通信，那么MCU会自动降低与这些终端通信的速率。当故障的E1线路修复后，MCU和终端间的通信速率会恢复正常。</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在H.323的情况下，当网络发生拥塞，终端和MCU的通信速率达不到预定速率的时候。MCU会自动降低与产生拥塞的终端的通信速率，保证会议的正常进行。当网络的拥塞减缓后，MCU和终端又会恢复正常的通信速率。</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bookmarkStart w:id="98" w:name="_Toc158047252"/>
      <w:r>
        <w:rPr>
          <w:rFonts w:hint="default" w:asciiTheme="minorAscii" w:hAnsiTheme="minorAscii" w:eastAsiaTheme="minorEastAsia" w:cstheme="minorEastAsia"/>
          <w:b/>
          <w:bCs/>
          <w:color w:val="auto"/>
          <w:sz w:val="24"/>
          <w:szCs w:val="24"/>
          <w:lang w:val="en-US" w:eastAsia="zh-CN"/>
        </w:rPr>
        <w:t>6）</w:t>
      </w:r>
      <w:r>
        <w:rPr>
          <w:rFonts w:hint="default" w:asciiTheme="minorAscii" w:hAnsiTheme="minorAscii" w:eastAsiaTheme="minorEastAsia" w:cstheme="minorEastAsia"/>
          <w:b/>
          <w:bCs/>
          <w:color w:val="auto"/>
          <w:sz w:val="24"/>
          <w:szCs w:val="24"/>
        </w:rPr>
        <w:t>断线重邀功能</w:t>
      </w:r>
      <w:bookmarkEnd w:id="98"/>
    </w:p>
    <w:p>
      <w:pPr>
        <w:pageBreakBefore w:val="0"/>
        <w:kinsoku/>
        <w:wordWrap/>
        <w:overflowPunct/>
        <w:topLinePunct w:val="0"/>
        <w:autoSpaceDE/>
        <w:autoSpaceDN/>
        <w:bidi w:val="0"/>
        <w:adjustRightInd w:val="0"/>
        <w:spacing w:line="300" w:lineRule="exact"/>
        <w:ind w:firstLine="456"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pacing w:val="-6"/>
          <w:sz w:val="24"/>
          <w:szCs w:val="24"/>
        </w:rPr>
        <w:t>视频会议系统具有继线重邀功能，在召开视频会议过程中，当某一终端的线路出现故障时，并不影响其他终端会议的继续进行，并且当该终端的线路故障排除后，该终端不需要人工再次进行呼叫就能自动加入到会议中，继续参与到会议中。</w:t>
      </w:r>
    </w:p>
    <w:p>
      <w:pPr>
        <w:pageBreakBefore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color w:val="auto"/>
          <w:sz w:val="24"/>
          <w:szCs w:val="24"/>
        </w:rPr>
      </w:pPr>
      <w:bookmarkStart w:id="99" w:name="_Toc158047253"/>
      <w:r>
        <w:rPr>
          <w:rFonts w:hint="default" w:asciiTheme="minorAscii" w:hAnsiTheme="minorAscii" w:eastAsiaTheme="minorEastAsia" w:cstheme="minorEastAsia"/>
          <w:b/>
          <w:bCs/>
          <w:color w:val="auto"/>
          <w:sz w:val="24"/>
          <w:szCs w:val="24"/>
          <w:lang w:val="en-US" w:eastAsia="zh-CN"/>
        </w:rPr>
        <w:t>7）</w:t>
      </w:r>
      <w:r>
        <w:rPr>
          <w:rFonts w:hint="default" w:asciiTheme="minorAscii" w:hAnsiTheme="minorAscii" w:eastAsiaTheme="minorEastAsia" w:cstheme="minorEastAsia"/>
          <w:b/>
          <w:bCs/>
          <w:color w:val="auto"/>
          <w:sz w:val="24"/>
          <w:szCs w:val="24"/>
        </w:rPr>
        <w:t>双视频流</w:t>
      </w:r>
      <w:bookmarkEnd w:id="95"/>
      <w:bookmarkEnd w:id="99"/>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本系统采用的MCU和高清视频会议终端可支持标准的H.239双视频流功能，通过简单的结构和操作，即可实现丰富的双视频流应用。</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在某些应用中，往往需要同时传输两路图像，一路是会场中的人像，另一路是幻灯片、VCD/DVD影片、实物等。为了在分会场同时显示人像和物体等，需要双视频流技术来支持上述应用。例如远程培训是利用第二路视频源在传送教师图像的同时传送培训的资料，如POWERPOINT、WORD、幻灯片、VCD/DVD等，还可以通过视频会议系统播放某些影片或宣传片，用于学习娱乐等。</w:t>
      </w:r>
    </w:p>
    <w:p>
      <w:pPr>
        <w:pageBreakBefore w:val="0"/>
        <w:kinsoku/>
        <w:wordWrap/>
        <w:overflowPunct/>
        <w:topLinePunct w:val="0"/>
        <w:autoSpaceDE/>
        <w:autoSpaceDN/>
        <w:bidi w:val="0"/>
        <w:adjustRightInd w:val="0"/>
        <w:spacing w:line="300" w:lineRule="exact"/>
        <w:ind w:firstLine="456"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pacing w:val="-6"/>
          <w:sz w:val="24"/>
          <w:szCs w:val="24"/>
        </w:rPr>
        <w:t>通过双视频流，每个发言会场可同时在终端上接入两路图像源，一路为会场摄像机，另一路为文本摄像机、PC机、VCD/DVD机等。双路视频源可同时被编码压缩并上传到MCU，由MCU处理转发到其他会场，接受会场通过终端同时解码输出双路图像，并分别显示到两个显示设备、或以画中画的方式显示到一个显示设备。</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本项目内置双流功能的视频会议终端提供两路视频流，称之为第一视频流和第二视频流，第一视频流传送会场声音和图像，第二视频流传送计算机桌面、实物展示台、POWERPOINT幻灯片等图像。通过内置双流模块，视频流通过C端子/S端子/VGA接口输入、双流模块、视频终端网络接口传送到MCU，再由MCU双流模块转发到其它内置双流功能的视频会议终端C端子/S端子/VGA接口进行输出。第一视频流不和第二视频流同等占用线路带宽、软硬件资源，在保证第一视频流的前提下传送第二视频流,第一视频流全帧传送（PAL制式25帧/秒，NTSC制式30帧/秒），第二视频流采用5帧/秒传送。</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第一视频流可通过C、S端子输入，C、S端子输出,第二视频流可通过C、VGA输入，C、VGA输出。双流可分别输出或采用画中画方式输出,即可通过2台显示设备分别显示2路视频，也可只用一台显示设备采用画中画方式显示双流，大小画面可互换，小画面也可在屏幕四角移动。</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具体连接方式举例如下：</w:t>
      </w:r>
    </w:p>
    <w:p>
      <w:pPr>
        <w:pageBreakBefore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第一视频流通过C、S端子输入，C、S端子输出,第二视频流通过VGA输入，VGA输出。</w:t>
      </w:r>
    </w:p>
    <w:p>
      <w:pPr>
        <w:pageBreakBefore w:val="0"/>
        <w:kinsoku/>
        <w:wordWrap/>
        <w:overflowPunct/>
        <w:topLinePunct w:val="0"/>
        <w:autoSpaceDE/>
        <w:autoSpaceDN/>
        <w:bidi w:val="0"/>
        <w:adjustRightInd w:val="0"/>
        <w:spacing w:line="360" w:lineRule="auto"/>
        <w:ind w:firstLine="480" w:firstLineChars="200"/>
        <w:jc w:val="both"/>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drawing>
          <wp:inline distT="0" distB="0" distL="114300" distR="114300">
            <wp:extent cx="4277995" cy="1870075"/>
            <wp:effectExtent l="0" t="0" r="4445" b="4445"/>
            <wp:docPr id="12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0"/>
                    <pic:cNvPicPr>
                      <a:picLocks noChangeAspect="1"/>
                    </pic:cNvPicPr>
                  </pic:nvPicPr>
                  <pic:blipFill>
                    <a:blip r:embed="rId49"/>
                    <a:stretch>
                      <a:fillRect/>
                    </a:stretch>
                  </pic:blipFill>
                  <pic:spPr>
                    <a:xfrm>
                      <a:off x="0" y="0"/>
                      <a:ext cx="4277995" cy="1870075"/>
                    </a:xfrm>
                    <a:prstGeom prst="rect">
                      <a:avLst/>
                    </a:prstGeom>
                    <a:noFill/>
                    <a:ln>
                      <a:noFill/>
                    </a:ln>
                  </pic:spPr>
                </pic:pic>
              </a:graphicData>
            </a:graphic>
          </wp:inline>
        </w:drawing>
      </w:r>
    </w:p>
    <w:p>
      <w:pPr>
        <w:pageBreakBefore w:val="0"/>
        <w:kinsoku/>
        <w:wordWrap/>
        <w:overflowPunct/>
        <w:topLinePunct w:val="0"/>
        <w:autoSpaceDE/>
        <w:autoSpaceDN/>
        <w:bidi w:val="0"/>
        <w:adjustRightInd w:val="0"/>
        <w:spacing w:line="360" w:lineRule="auto"/>
        <w:ind w:left="0" w:leftChars="0" w:firstLine="0" w:firstLineChars="0"/>
        <w:jc w:val="center"/>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b/>
          <w:bCs/>
          <w:sz w:val="24"/>
          <w:szCs w:val="24"/>
          <w:lang w:val="en-US" w:eastAsia="zh-CN"/>
        </w:rPr>
        <w:t>图40 远程视频会议系统设备连接图</w:t>
      </w:r>
    </w:p>
    <w:p>
      <w:pPr>
        <w:pageBreakBefore w:val="0"/>
        <w:widowControl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color w:val="auto"/>
          <w:sz w:val="24"/>
          <w:szCs w:val="24"/>
        </w:rPr>
      </w:pPr>
      <w:bookmarkStart w:id="100" w:name="_Toc158047254"/>
      <w:bookmarkStart w:id="101" w:name="_Toc121650385"/>
      <w:r>
        <w:rPr>
          <w:rFonts w:hint="default" w:asciiTheme="minorAscii" w:hAnsiTheme="minorAscii" w:eastAsiaTheme="minorEastAsia" w:cstheme="minorEastAsia"/>
          <w:b/>
          <w:bCs/>
          <w:color w:val="auto"/>
          <w:sz w:val="24"/>
          <w:szCs w:val="24"/>
          <w:lang w:val="en-US" w:eastAsia="zh-CN"/>
        </w:rPr>
        <w:t>8）</w:t>
      </w:r>
      <w:r>
        <w:rPr>
          <w:rFonts w:hint="default" w:asciiTheme="minorAscii" w:hAnsiTheme="minorAscii" w:eastAsiaTheme="minorEastAsia" w:cstheme="minorEastAsia"/>
          <w:b/>
          <w:bCs/>
          <w:color w:val="auto"/>
          <w:sz w:val="24"/>
          <w:szCs w:val="24"/>
        </w:rPr>
        <w:t>多方混音功能</w:t>
      </w:r>
      <w:bookmarkEnd w:id="100"/>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多方混音为视频会议提供了更加灵活的应用方式，通过多方混音可以实现多个会场的发言信息同时能被其他会场听到的功能，在应用上可以灵活实现会议间讨论、小组讨论、点名等。</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传统的混音是采用模拟的方式，通过调音台来实现的。同样这种方式会损伤声音质量、限制应用灵活性。因此我们建议采用全数字化的混音功能，保证不会损伤声音质量，且混音的会场数量可以根据需要灵活配置。</w:t>
      </w:r>
    </w:p>
    <w:p>
      <w:pPr>
        <w:pageBreakBefore w:val="0"/>
        <w:widowControl w:val="0"/>
        <w:kinsoku/>
        <w:wordWrap/>
        <w:overflowPunct/>
        <w:topLinePunct w:val="0"/>
        <w:autoSpaceDE/>
        <w:autoSpaceDN/>
        <w:bidi w:val="0"/>
        <w:adjustRightInd w:val="0"/>
        <w:spacing w:line="300" w:lineRule="exact"/>
        <w:ind w:firstLine="456" w:firstLineChars="200"/>
        <w:jc w:val="left"/>
        <w:textAlignment w:val="auto"/>
        <w:rPr>
          <w:rFonts w:hint="default" w:asciiTheme="minorAscii" w:hAnsiTheme="minorAscii" w:eastAsiaTheme="minorEastAsia" w:cstheme="minorEastAsia"/>
          <w:color w:val="auto"/>
          <w:spacing w:val="-6"/>
          <w:sz w:val="24"/>
          <w:szCs w:val="24"/>
        </w:rPr>
      </w:pPr>
      <w:r>
        <w:rPr>
          <w:rFonts w:hint="default" w:asciiTheme="minorAscii" w:hAnsiTheme="minorAscii" w:eastAsiaTheme="minorEastAsia" w:cstheme="minorEastAsia"/>
          <w:color w:val="auto"/>
          <w:spacing w:val="-6"/>
          <w:sz w:val="24"/>
          <w:szCs w:val="24"/>
        </w:rPr>
        <w:t>系统能提供定制混音和全局混音两种混音工作模式。定制混音是在会议过程中将部分与会者的声音设定为混音，并广播到各个分会场，并可随时改变参与混音的分会场。全局混音是指所有参加会议的用户均加入混音，无需会议控制台操作。</w:t>
      </w:r>
    </w:p>
    <w:bookmarkEnd w:id="101"/>
    <w:p>
      <w:pPr>
        <w:pageBreakBefore w:val="0"/>
        <w:widowControl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b/>
          <w:bCs/>
          <w:color w:val="auto"/>
          <w:sz w:val="24"/>
          <w:szCs w:val="24"/>
        </w:rPr>
      </w:pPr>
      <w:bookmarkStart w:id="102" w:name="_Toc158047255"/>
      <w:bookmarkStart w:id="103" w:name="_Toc121650387"/>
      <w:r>
        <w:rPr>
          <w:rFonts w:hint="default" w:asciiTheme="minorAscii" w:hAnsiTheme="minorAscii" w:eastAsiaTheme="minorEastAsia" w:cstheme="minorEastAsia"/>
          <w:b/>
          <w:bCs/>
          <w:color w:val="auto"/>
          <w:sz w:val="24"/>
          <w:szCs w:val="24"/>
          <w:lang w:val="en-US" w:eastAsia="zh-CN"/>
        </w:rPr>
        <w:t>9）</w:t>
      </w:r>
      <w:r>
        <w:rPr>
          <w:rFonts w:hint="default" w:asciiTheme="minorAscii" w:hAnsiTheme="minorAscii" w:eastAsiaTheme="minorEastAsia" w:cstheme="minorEastAsia"/>
          <w:b/>
          <w:bCs/>
          <w:color w:val="auto"/>
          <w:sz w:val="24"/>
          <w:szCs w:val="24"/>
        </w:rPr>
        <w:t>多画面显示</w:t>
      </w:r>
      <w:bookmarkEnd w:id="102"/>
      <w:bookmarkEnd w:id="103"/>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多画面分割显示功能作为视频会议系统中的辅助功能，可增强系统应用的灵活性，便于在单一显示设备上以分屏形式同时显示多个远端会场的图像。</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本系统通过MCU配置多画面分割板实现多画面分割功能，可实现4/9/16/N+1等各种多画面组合模式，各画面来源可采用动态跟随或手动指定等方式进行切换。</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合成的多画面既可通过MCU直接输出，也可以通过转发模块将合成的多画面数字码流分发到所有会场，由会场会议终端解码输出多画面图像。</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可通过会议管理软件来控制和选择参与多画面处理的会场，可在无需结束会议的情况下，实现分屏格式以及多分屏与无分屏间的动态切换。</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由于MCU采用全数字方式实现多分屏功能，因此召开多分屏模式的多点会议时，其单程时延小于400ms。（无分屏会议单程时延小于250ms）。</w:t>
      </w:r>
    </w:p>
    <w:p>
      <w:pPr>
        <w:pageBreakBefore w:val="0"/>
        <w:widowControl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color w:val="auto"/>
          <w:sz w:val="24"/>
          <w:szCs w:val="24"/>
        </w:rPr>
      </w:pPr>
      <w:bookmarkStart w:id="104" w:name="_Toc158047256"/>
      <w:bookmarkStart w:id="105" w:name="_Toc121650389"/>
      <w:r>
        <w:rPr>
          <w:rFonts w:hint="default" w:asciiTheme="minorAscii" w:hAnsiTheme="minorAscii" w:eastAsiaTheme="minorEastAsia" w:cstheme="minorEastAsia"/>
          <w:b/>
          <w:bCs/>
          <w:color w:val="auto"/>
          <w:sz w:val="24"/>
          <w:szCs w:val="24"/>
          <w:lang w:val="en-US" w:eastAsia="zh-CN"/>
        </w:rPr>
        <w:t>10）</w:t>
      </w:r>
      <w:r>
        <w:rPr>
          <w:rFonts w:hint="default" w:asciiTheme="minorAscii" w:hAnsiTheme="minorAscii" w:eastAsiaTheme="minorEastAsia" w:cstheme="minorEastAsia"/>
          <w:b/>
          <w:bCs/>
          <w:color w:val="auto"/>
          <w:sz w:val="24"/>
          <w:szCs w:val="24"/>
        </w:rPr>
        <w:t>系统多级级联</w:t>
      </w:r>
      <w:bookmarkEnd w:id="104"/>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系统级联主要有两种方法：数字级联方式和模拟级联方式。采用数字级联组网时，网络中的各级MCU之间通过网络线路连接, MCU和会议电视终端之间能够互通互控，能够通过网管系统对各MCU进行统一管理，实现对各MCU的配置和维护。采用模拟级联方式时，在级联点通过视音频线把属于上级系统的终端和本级系统配置的终端对接,或将各级网络的会议终端输出的模拟视频图像分别连接到视频矩阵上，输出模拟音频则连接到调音台，通过视音频线把上级和本级的终端的图像声音互传到对方，以实现互通。</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数字级联的优点是可以实现互控，但是新系统须与原有系统的编解码格式相同；模拟级联的优势是可以不拘泥于原有系统的编解码格式，可以采用更先进的编解码算法。一般的模拟级联不能实现互控，建议采用分布式控制技术的视频系统和设备，在模拟级联的同时还可实现互控。</w:t>
      </w:r>
    </w:p>
    <w:p>
      <w:pPr>
        <w:pageBreakBefore w:val="0"/>
        <w:widowControl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color w:val="auto"/>
          <w:sz w:val="24"/>
          <w:szCs w:val="24"/>
        </w:rPr>
      </w:pPr>
      <w:bookmarkStart w:id="106" w:name="_Toc158047257"/>
      <w:r>
        <w:rPr>
          <w:rFonts w:hint="default" w:asciiTheme="minorAscii" w:hAnsiTheme="minorAscii" w:eastAsiaTheme="minorEastAsia" w:cstheme="minorEastAsia"/>
          <w:b/>
          <w:bCs/>
          <w:color w:val="auto"/>
          <w:sz w:val="24"/>
          <w:szCs w:val="24"/>
          <w:lang w:val="en-US" w:eastAsia="zh-CN"/>
        </w:rPr>
        <w:t>11）</w:t>
      </w:r>
      <w:r>
        <w:rPr>
          <w:rFonts w:hint="default" w:asciiTheme="minorAscii" w:hAnsiTheme="minorAscii" w:eastAsiaTheme="minorEastAsia" w:cstheme="minorEastAsia"/>
          <w:b/>
          <w:bCs/>
          <w:color w:val="auto"/>
          <w:sz w:val="24"/>
          <w:szCs w:val="24"/>
        </w:rPr>
        <w:t>流媒体功能</w:t>
      </w:r>
      <w:bookmarkEnd w:id="105"/>
      <w:bookmarkEnd w:id="106"/>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本系统可以通过配置流媒体服务器实现丰富、灵活的流媒体应用功能，包括数字录像和视频点播。在配置上，仅需配置一套基于PC或服务器的流媒体服务器软件，PC或服务器与MCU通过网络相连即可。这样在召开会议时，可以由会议控制台控制是否需要将本次会议视音频信号录制下来，由于采用数字码流录制的方式，因此不会损伤视频图像质量。同时，录制好的图像可以通过流媒体进行发布，提供实时点播或今后视频点播或回放，点播客户端仅需通过安装有IE浏览器的PC即可实现观看，具体功能有：</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通过接收MCU的码流分发，能同时录制一个会议中的多个分会场的内容，也可同时录制多个会议的主会场的内容，系统同时可录制30路数字视频源；</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具有对录像内容自动分类存贮和自动以WEB形式发布的功能。</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具有格式转换功能，将VCD、DVD等片源转换成流式文件。</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系统支持通过模块的叠加，满足大容量并发流需求。</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系统提供完善的流管理功能，管理员可自行添加和删除节目。</w:t>
      </w:r>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提供完善的用户管理系统，提供各种权限不同的流服务，流媒体的接收端需要通过验证后，方能进行收看。</w:t>
      </w:r>
    </w:p>
    <w:p>
      <w:pPr>
        <w:pageBreakBefore w:val="0"/>
        <w:widowControl w:val="0"/>
        <w:kinsoku/>
        <w:wordWrap/>
        <w:overflowPunct/>
        <w:topLinePunct w:val="0"/>
        <w:autoSpaceDE/>
        <w:autoSpaceDN/>
        <w:bidi w:val="0"/>
        <w:adjustRightInd w:val="0"/>
        <w:spacing w:line="300" w:lineRule="exact"/>
        <w:ind w:firstLine="481" w:firstLineChars="200"/>
        <w:jc w:val="left"/>
        <w:textAlignment w:val="auto"/>
        <w:rPr>
          <w:rFonts w:hint="default" w:asciiTheme="minorAscii" w:hAnsiTheme="minorAscii" w:eastAsiaTheme="minorEastAsia" w:cstheme="minorEastAsia"/>
          <w:color w:val="auto"/>
          <w:sz w:val="24"/>
          <w:szCs w:val="24"/>
        </w:rPr>
      </w:pPr>
      <w:bookmarkStart w:id="107" w:name="_Toc158047258"/>
      <w:bookmarkStart w:id="108" w:name="_Toc121650390"/>
      <w:r>
        <w:rPr>
          <w:rFonts w:hint="default" w:asciiTheme="minorAscii" w:hAnsiTheme="minorAscii" w:eastAsiaTheme="minorEastAsia" w:cstheme="minorEastAsia"/>
          <w:b/>
          <w:bCs/>
          <w:color w:val="auto"/>
          <w:sz w:val="24"/>
          <w:szCs w:val="24"/>
          <w:lang w:val="en-US" w:eastAsia="zh-CN"/>
        </w:rPr>
        <w:t>12）</w:t>
      </w:r>
      <w:r>
        <w:rPr>
          <w:rFonts w:hint="default" w:asciiTheme="minorAscii" w:hAnsiTheme="minorAscii" w:eastAsiaTheme="minorEastAsia" w:cstheme="minorEastAsia"/>
          <w:b/>
          <w:bCs/>
          <w:color w:val="auto"/>
          <w:sz w:val="24"/>
          <w:szCs w:val="24"/>
        </w:rPr>
        <w:t>管理功能</w:t>
      </w:r>
      <w:bookmarkEnd w:id="107"/>
    </w:p>
    <w:p>
      <w:pPr>
        <w:pageBreakBefore w:val="0"/>
        <w:widowControl w:val="0"/>
        <w:kinsoku/>
        <w:wordWrap/>
        <w:overflowPunct/>
        <w:topLinePunct w:val="0"/>
        <w:autoSpaceDE/>
        <w:autoSpaceDN/>
        <w:bidi w:val="0"/>
        <w:adjustRightInd w:val="0"/>
        <w:spacing w:line="300" w:lineRule="exact"/>
        <w:ind w:firstLine="480" w:firstLineChars="200"/>
        <w:jc w:val="left"/>
        <w:textAlignment w:val="auto"/>
        <w:rPr>
          <w:rFonts w:hint="default" w:asciiTheme="minorAscii" w:hAnsiTheme="minorAscii" w:eastAsiaTheme="minorEastAsia" w:cstheme="minorEastAsia"/>
          <w:color w:val="auto"/>
          <w:sz w:val="24"/>
          <w:szCs w:val="24"/>
        </w:rPr>
      </w:pPr>
      <w:r>
        <w:rPr>
          <w:rFonts w:hint="default" w:asciiTheme="minorAscii" w:hAnsiTheme="minorAscii" w:eastAsiaTheme="minorEastAsia" w:cstheme="minorEastAsia"/>
          <w:color w:val="auto"/>
          <w:sz w:val="24"/>
          <w:szCs w:val="24"/>
        </w:rPr>
        <w:t>通过视频会议系统的网管系统、会议控制系统可以实现同时管理系统内所有终端，远程进行检测各终端的运行情况以及网络状况，采用设备自环、内环、外环等检测手段，检测系统自身运行状况，并将检测进行日志记录。通过会议控制台实现整个系统的会议召集、控制、设置会议各项参数、控制摄像机等功能。</w:t>
      </w:r>
    </w:p>
    <w:bookmarkEnd w:id="108"/>
    <w:p>
      <w:pPr>
        <w:pStyle w:val="7"/>
        <w:pageBreakBefore w:val="0"/>
        <w:widowControl w:val="0"/>
        <w:kinsoku/>
        <w:wordWrap/>
        <w:overflowPunct/>
        <w:topLinePunct w:val="0"/>
        <w:autoSpaceDE/>
        <w:autoSpaceDN/>
        <w:bidi w:val="0"/>
        <w:spacing w:before="166" w:after="166"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UPS备电系统</w:t>
      </w:r>
    </w:p>
    <w:p>
      <w:pPr>
        <w:pStyle w:val="8"/>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pP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系统概述</w:t>
      </w:r>
    </w:p>
    <w:p>
      <w:pPr>
        <w:pageBreakBefore w:val="0"/>
        <w:widowControl w:val="0"/>
        <w:kinsoku/>
        <w:wordWrap/>
        <w:overflowPunct/>
        <w:topLinePunct w:val="0"/>
        <w:autoSpaceDE/>
        <w:autoSpaceDN/>
        <w:bidi w:val="0"/>
        <w:spacing w:after="60" w:line="300" w:lineRule="exact"/>
        <w:ind w:firstLine="570"/>
        <w:jc w:val="left"/>
        <w:rPr>
          <w:rFonts w:hint="default" w:asciiTheme="minorAscii" w:hAnsiTheme="minorAscii" w:eastAsiaTheme="minorEastAsia" w:cstheme="minorEastAsia"/>
          <w:color w:val="000000" w:themeColor="text1"/>
          <w:sz w:val="24"/>
          <w:szCs w:val="24"/>
          <w:highlight w:val="yellow"/>
          <w:lang w:val="en-US" w:eastAsia="zh-CN"/>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UPS在市电供应正常时由市电充电并储存电能，当市电异常时由它的逆变器输出恒压的不间断电流继续为计算机系统供电。使用户能够有充分的时间完成计算机关机前的所有准备工作，从而避免了由于市电异常造成的用户计算机软硬件的损坏和数据丢失，保护用户计算机不受市电电源的干扰。在许多防间断和丢失的系统中，UPS起着不可替代的作用。</w:t>
      </w:r>
      <w:r>
        <w:rPr>
          <w:rFonts w:hint="default" w:asciiTheme="minorAscii" w:hAnsiTheme="minorAscii" w:eastAsiaTheme="minorEastAsia" w:cstheme="minorEastAsia"/>
          <w:color w:val="000000" w:themeColor="text1"/>
          <w:sz w:val="24"/>
          <w:szCs w:val="24"/>
          <w:highlight w:val="none"/>
          <w:lang w:val="en-US" w:eastAsia="zh-CN"/>
          <w14:textFill>
            <w14:solidFill>
              <w14:schemeClr w14:val="tx1"/>
            </w14:solidFill>
          </w14:textFill>
        </w:rPr>
        <w:t>本项目对市局总指挥中心融合通信系统、值班电脑、网络交换设备进行备电。</w:t>
      </w:r>
    </w:p>
    <w:p>
      <w:pPr>
        <w:pStyle w:val="8"/>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color w:val="000000" w:themeColor="text1"/>
          <w:sz w:val="24"/>
          <w:szCs w:val="24"/>
          <w14:textFill>
            <w14:solidFill>
              <w14:schemeClr w14:val="tx1"/>
            </w14:solidFill>
          </w14:textFill>
        </w:rPr>
      </w:pPr>
      <w:bookmarkStart w:id="109" w:name="_Toc248658587"/>
      <w:bookmarkStart w:id="110" w:name="_Toc344648719"/>
      <w:r>
        <w:rPr>
          <w:rFonts w:hint="default" w:asciiTheme="minorAscii" w:hAnsiTheme="minorAscii" w:eastAsiaTheme="minorEastAsia" w:cstheme="minorEastAsia"/>
          <w:color w:val="000000" w:themeColor="text1"/>
          <w:sz w:val="24"/>
          <w:szCs w:val="24"/>
          <w14:textFill>
            <w14:solidFill>
              <w14:schemeClr w14:val="tx1"/>
            </w14:solidFill>
          </w14:textFill>
        </w:rPr>
        <w:t>UPS供电系统</w:t>
      </w:r>
      <w:bookmarkEnd w:id="109"/>
      <w:bookmarkEnd w:id="110"/>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配置</w:t>
      </w:r>
    </w:p>
    <w:p>
      <w:pPr>
        <w:keepNext w:val="0"/>
        <w:keepLines w:val="0"/>
        <w:pageBreakBefore w:val="0"/>
        <w:widowControl w:val="0"/>
        <w:numPr>
          <w:ilvl w:val="0"/>
          <w:numId w:val="31"/>
        </w:numPr>
        <w:tabs>
          <w:tab w:val="left" w:pos="0"/>
          <w:tab w:val="clear" w:pos="1260"/>
        </w:tabs>
        <w:kinsoku/>
        <w:wordWrap/>
        <w:overflowPunct/>
        <w:topLinePunct w:val="0"/>
        <w:autoSpaceDE/>
        <w:autoSpaceDN/>
        <w:bidi w:val="0"/>
        <w:adjustRightInd w:val="0"/>
        <w:snapToGrid w:val="0"/>
        <w:spacing w:after="60" w:line="300" w:lineRule="exact"/>
        <w:ind w:left="0" w:firstLine="0"/>
        <w:jc w:val="left"/>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为</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指挥中心</w:t>
      </w:r>
      <w:r>
        <w:rPr>
          <w:rFonts w:hint="default" w:asciiTheme="minorAscii" w:hAnsiTheme="minorAscii" w:eastAsiaTheme="minorEastAsia" w:cstheme="minorEastAsia"/>
          <w:color w:val="000000" w:themeColor="text1"/>
          <w:sz w:val="24"/>
          <w:szCs w:val="24"/>
          <w14:textFill>
            <w14:solidFill>
              <w14:schemeClr w14:val="tx1"/>
            </w14:solidFill>
          </w14:textFill>
        </w:rPr>
        <w:t>内重要设备供电，如</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网关</w:t>
      </w:r>
      <w:r>
        <w:rPr>
          <w:rFonts w:hint="default" w:asciiTheme="minorAscii" w:hAnsiTheme="minorAscii" w:eastAsiaTheme="minorEastAsia" w:cstheme="minorEastAsia"/>
          <w:color w:val="000000" w:themeColor="text1"/>
          <w:sz w:val="24"/>
          <w:szCs w:val="24"/>
          <w14:textFill>
            <w14:solidFill>
              <w14:schemeClr w14:val="tx1"/>
            </w14:solidFill>
          </w14:textFill>
        </w:rPr>
        <w:t>、网络交换机</w:t>
      </w:r>
      <w:r>
        <w:rPr>
          <w:rFonts w:hint="default" w:asciiTheme="minorAscii" w:hAnsiTheme="minorAscii" w:eastAsiaTheme="minorEastAsia" w:cstheme="minorEastAsia"/>
          <w:color w:val="000000" w:themeColor="text1"/>
          <w:sz w:val="24"/>
          <w:szCs w:val="24"/>
          <w:lang w:eastAsia="zh-CN"/>
          <w14:textFill>
            <w14:solidFill>
              <w14:schemeClr w14:val="tx1"/>
            </w14:solidFill>
          </w14:textFill>
        </w:rPr>
        <w:t>、</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值班电脑</w:t>
      </w:r>
      <w:r>
        <w:rPr>
          <w:rFonts w:hint="default" w:asciiTheme="minorAscii" w:hAnsiTheme="minorAscii" w:eastAsiaTheme="minorEastAsia" w:cstheme="minorEastAsia"/>
          <w:color w:val="000000" w:themeColor="text1"/>
          <w:sz w:val="24"/>
          <w:szCs w:val="24"/>
          <w14:textFill>
            <w14:solidFill>
              <w14:schemeClr w14:val="tx1"/>
            </w14:solidFill>
          </w14:textFill>
        </w:rPr>
        <w:t>等设备</w:t>
      </w:r>
      <w:r>
        <w:rPr>
          <w:rFonts w:hint="default" w:asciiTheme="minorAscii" w:hAnsiTheme="minorAscii" w:eastAsiaTheme="minorEastAsia" w:cstheme="minorEastAsia"/>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31"/>
        </w:numPr>
        <w:tabs>
          <w:tab w:val="left" w:pos="0"/>
          <w:tab w:val="clear" w:pos="1260"/>
        </w:tabs>
        <w:kinsoku/>
        <w:wordWrap/>
        <w:overflowPunct/>
        <w:topLinePunct w:val="0"/>
        <w:autoSpaceDE/>
        <w:autoSpaceDN/>
        <w:bidi w:val="0"/>
        <w:adjustRightInd w:val="0"/>
        <w:snapToGrid w:val="0"/>
        <w:spacing w:after="60" w:line="300" w:lineRule="exact"/>
        <w:ind w:left="0" w:firstLine="0"/>
        <w:jc w:val="left"/>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UPS电源后备时间最少需满足</w:t>
      </w:r>
      <w:r>
        <w:rPr>
          <w:rFonts w:hint="default" w:asciiTheme="minorAscii" w:hAnsiTheme="minorAscii" w:eastAsiaTheme="minorEastAsia" w:cstheme="minorEastAsia"/>
          <w:color w:val="000000" w:themeColor="text1"/>
          <w:sz w:val="24"/>
          <w:szCs w:val="24"/>
          <w:highlight w:val="none"/>
          <w14:textFill>
            <w14:solidFill>
              <w14:schemeClr w14:val="tx1"/>
            </w14:solidFill>
          </w14:textFill>
        </w:rPr>
        <w:t>1</w:t>
      </w:r>
      <w:r>
        <w:rPr>
          <w:rFonts w:hint="default" w:asciiTheme="minorAscii" w:hAnsiTheme="minorAscii" w:eastAsiaTheme="minorEastAsia" w:cstheme="minorEastAsia"/>
          <w:color w:val="000000" w:themeColor="text1"/>
          <w:sz w:val="24"/>
          <w:szCs w:val="24"/>
          <w14:textFill>
            <w14:solidFill>
              <w14:schemeClr w14:val="tx1"/>
            </w14:solidFill>
          </w14:textFill>
        </w:rPr>
        <w:t>小时。</w:t>
      </w:r>
    </w:p>
    <w:p>
      <w:pPr>
        <w:keepNext w:val="0"/>
        <w:keepLines w:val="0"/>
        <w:pageBreakBefore w:val="0"/>
        <w:widowControl w:val="0"/>
        <w:tabs>
          <w:tab w:val="left" w:pos="0"/>
        </w:tabs>
        <w:kinsoku/>
        <w:wordWrap/>
        <w:overflowPunct/>
        <w:topLinePunct w:val="0"/>
        <w:autoSpaceDE/>
        <w:autoSpaceDN/>
        <w:bidi w:val="0"/>
        <w:adjustRightInd w:val="0"/>
        <w:snapToGrid w:val="0"/>
        <w:spacing w:after="60" w:line="300" w:lineRule="exact"/>
        <w:jc w:val="left"/>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本</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项目</w:t>
      </w:r>
      <w:r>
        <w:rPr>
          <w:rFonts w:hint="default" w:asciiTheme="minorAscii" w:hAnsiTheme="minorAscii" w:eastAsiaTheme="minorEastAsia" w:cstheme="minorEastAsia"/>
          <w:color w:val="000000" w:themeColor="text1"/>
          <w:sz w:val="24"/>
          <w:szCs w:val="24"/>
          <w14:textFill>
            <w14:solidFill>
              <w14:schemeClr w14:val="tx1"/>
            </w14:solidFill>
          </w14:textFill>
        </w:rPr>
        <w:t>根据机柜数量及公式计算如下：</w:t>
      </w:r>
    </w:p>
    <w:p>
      <w:pPr>
        <w:keepNext w:val="0"/>
        <w:keepLines w:val="0"/>
        <w:pageBreakBefore w:val="0"/>
        <w:widowControl w:val="0"/>
        <w:tabs>
          <w:tab w:val="left" w:pos="0"/>
        </w:tabs>
        <w:kinsoku/>
        <w:wordWrap/>
        <w:overflowPunct/>
        <w:topLinePunct w:val="0"/>
        <w:autoSpaceDE/>
        <w:autoSpaceDN/>
        <w:bidi w:val="0"/>
        <w:adjustRightInd w:val="0"/>
        <w:snapToGrid w:val="0"/>
        <w:spacing w:after="60" w:line="300" w:lineRule="exact"/>
        <w:jc w:val="left"/>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highlight w:val="none"/>
          <w14:textFill>
            <w14:solidFill>
              <w14:schemeClr w14:val="tx1"/>
            </w14:solidFill>
          </w14:textFill>
        </w:rPr>
        <w:t>UPS功率=</w:t>
      </w:r>
      <w:r>
        <w:rPr>
          <w:rFonts w:hint="default" w:asciiTheme="minorAscii" w:hAnsiTheme="minorAscii" w:eastAsiaTheme="minorEastAsia" w:cstheme="minorEastAsia"/>
          <w:color w:val="000000" w:themeColor="text1"/>
          <w:sz w:val="24"/>
          <w:szCs w:val="24"/>
          <w:highlight w:val="none"/>
          <w:lang w:val="en-US" w:eastAsia="zh-CN"/>
          <w14:textFill>
            <w14:solidFill>
              <w14:schemeClr w14:val="tx1"/>
            </w14:solidFill>
          </w14:textFill>
        </w:rPr>
        <w:t>6k</w:t>
      </w:r>
      <w:r>
        <w:rPr>
          <w:rFonts w:hint="default" w:asciiTheme="minorAscii" w:hAnsiTheme="minorAscii" w:eastAsiaTheme="minorEastAsia" w:cstheme="minorEastAsia"/>
          <w:color w:val="000000" w:themeColor="text1"/>
          <w:sz w:val="24"/>
          <w:szCs w:val="24"/>
          <w:highlight w:val="none"/>
          <w14:textFill>
            <w14:solidFill>
              <w14:schemeClr w14:val="tx1"/>
            </w14:solidFill>
          </w14:textFill>
        </w:rPr>
        <w:t>W（机柜</w:t>
      </w:r>
      <w:r>
        <w:rPr>
          <w:rFonts w:hint="default" w:asciiTheme="minorAscii" w:hAnsiTheme="minorAscii" w:eastAsiaTheme="minorEastAsia" w:cstheme="minorEastAsia"/>
          <w:color w:val="000000" w:themeColor="text1"/>
          <w:sz w:val="24"/>
          <w:szCs w:val="24"/>
          <w:highlight w:val="none"/>
          <w:lang w:val="en-US" w:eastAsia="zh-CN"/>
          <w14:textFill>
            <w14:solidFill>
              <w14:schemeClr w14:val="tx1"/>
            </w14:solidFill>
          </w14:textFill>
        </w:rPr>
        <w:t>内重要设备功率</w:t>
      </w:r>
      <w:r>
        <w:rPr>
          <w:rFonts w:hint="default" w:asciiTheme="minorAscii" w:hAnsiTheme="minorAscii" w:eastAsiaTheme="minorEastAsia" w:cstheme="minorEastAsia"/>
          <w:color w:val="000000" w:themeColor="text1"/>
          <w:sz w:val="24"/>
          <w:szCs w:val="24"/>
          <w:highlight w:val="none"/>
          <w14:textFill>
            <w14:solidFill>
              <w14:schemeClr w14:val="tx1"/>
            </w14:solidFill>
          </w14:textFill>
        </w:rPr>
        <w:t>按</w:t>
      </w:r>
      <w:r>
        <w:rPr>
          <w:rFonts w:hint="default" w:asciiTheme="minorAscii" w:hAnsiTheme="minorAscii" w:eastAsiaTheme="minorEastAsia" w:cstheme="minorEastAsia"/>
          <w:color w:val="000000" w:themeColor="text1"/>
          <w:sz w:val="24"/>
          <w:szCs w:val="24"/>
          <w:highlight w:val="none"/>
          <w:lang w:val="en-US" w:eastAsia="zh-CN"/>
          <w14:textFill>
            <w14:solidFill>
              <w14:schemeClr w14:val="tx1"/>
            </w14:solidFill>
          </w14:textFill>
        </w:rPr>
        <w:t>6k</w:t>
      </w:r>
      <w:r>
        <w:rPr>
          <w:rFonts w:hint="default" w:asciiTheme="minorAscii" w:hAnsiTheme="minorAscii" w:eastAsiaTheme="minorEastAsia" w:cstheme="minorEastAsia"/>
          <w:color w:val="000000" w:themeColor="text1"/>
          <w:sz w:val="24"/>
          <w:szCs w:val="24"/>
          <w:highlight w:val="none"/>
          <w14:textFill>
            <w14:solidFill>
              <w14:schemeClr w14:val="tx1"/>
            </w14:solidFill>
          </w14:textFill>
        </w:rPr>
        <w:t>W计）*1.2≈</w:t>
      </w:r>
      <w:r>
        <w:rPr>
          <w:rFonts w:hint="default" w:asciiTheme="minorAscii" w:hAnsiTheme="minorAscii" w:eastAsiaTheme="minorEastAsia" w:cstheme="minorEastAsia"/>
          <w:color w:val="000000" w:themeColor="text1"/>
          <w:sz w:val="24"/>
          <w:szCs w:val="24"/>
          <w:highlight w:val="none"/>
          <w:lang w:val="en-US" w:eastAsia="zh-CN"/>
          <w14:textFill>
            <w14:solidFill>
              <w14:schemeClr w14:val="tx1"/>
            </w14:solidFill>
          </w14:textFill>
        </w:rPr>
        <w:t>7.2</w:t>
      </w:r>
      <w:r>
        <w:rPr>
          <w:rFonts w:hint="default" w:asciiTheme="minorAscii" w:hAnsiTheme="minorAscii" w:eastAsiaTheme="minorEastAsia" w:cstheme="minorEastAsia"/>
          <w:color w:val="000000" w:themeColor="text1"/>
          <w:sz w:val="24"/>
          <w:szCs w:val="24"/>
          <w14:textFill>
            <w14:solidFill>
              <w14:schemeClr w14:val="tx1"/>
            </w14:solidFill>
          </w14:textFill>
        </w:rPr>
        <w:t>，</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故</w:t>
      </w:r>
      <w:r>
        <w:rPr>
          <w:rFonts w:hint="default" w:asciiTheme="minorAscii" w:hAnsiTheme="minorAscii" w:eastAsiaTheme="minorEastAsia" w:cstheme="minorEastAsia"/>
          <w:color w:val="000000" w:themeColor="text1"/>
          <w:sz w:val="24"/>
          <w:szCs w:val="24"/>
          <w14:textFill>
            <w14:solidFill>
              <w14:schemeClr w14:val="tx1"/>
            </w14:solidFill>
          </w14:textFill>
        </w:rPr>
        <w:t>10KVA选型。</w:t>
      </w:r>
    </w:p>
    <w:p>
      <w:pPr>
        <w:keepNext w:val="0"/>
        <w:keepLines w:val="0"/>
        <w:pageBreakBefore w:val="0"/>
        <w:widowControl w:val="0"/>
        <w:tabs>
          <w:tab w:val="left" w:pos="0"/>
        </w:tabs>
        <w:kinsoku/>
        <w:wordWrap/>
        <w:overflowPunct/>
        <w:topLinePunct w:val="0"/>
        <w:autoSpaceDE/>
        <w:autoSpaceDN/>
        <w:bidi w:val="0"/>
        <w:adjustRightInd w:val="0"/>
        <w:snapToGrid w:val="0"/>
        <w:spacing w:after="60" w:line="300" w:lineRule="exact"/>
        <w:jc w:val="left"/>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由于设计存放电池的地点位于6楼，考虑到楼板的负重能力，在储能与负重双重条件影响下，选用单节电池重量约20kg的12V65Ah阀控式密封铅酸蓄电池。10KVA UPS的启动电池电压多为192V或384V，为确保电压匹配（如16节12V电池串联为192V）需先用至少16</w:t>
      </w:r>
      <w:r>
        <w:rPr>
          <w:rFonts w:hint="default" w:asciiTheme="minorAscii" w:hAnsiTheme="minorAscii" w:eastAsiaTheme="minorEastAsia" w:cstheme="minorEastAsia"/>
          <w:color w:val="000000" w:themeColor="text1"/>
          <w:sz w:val="24"/>
          <w:szCs w:val="24"/>
          <w14:textFill>
            <w14:solidFill>
              <w14:schemeClr w14:val="tx1"/>
            </w14:solidFill>
          </w14:textFill>
        </w:rPr>
        <w:t>节</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电池</w:t>
      </w:r>
      <w:r>
        <w:rPr>
          <w:rFonts w:hint="default" w:asciiTheme="minorAscii" w:hAnsiTheme="minorAscii" w:eastAsiaTheme="minorEastAsia" w:cstheme="minorEastAsia"/>
          <w:color w:val="000000" w:themeColor="text1"/>
          <w:sz w:val="24"/>
          <w:szCs w:val="24"/>
          <w14:textFill>
            <w14:solidFill>
              <w14:schemeClr w14:val="tx1"/>
            </w14:solidFill>
          </w14:textFill>
        </w:rPr>
        <w:t>。</w:t>
      </w:r>
    </w:p>
    <w:p>
      <w:pPr>
        <w:keepNext w:val="0"/>
        <w:keepLines w:val="0"/>
        <w:pageBreakBefore w:val="0"/>
        <w:widowControl w:val="0"/>
        <w:tabs>
          <w:tab w:val="left" w:pos="0"/>
        </w:tabs>
        <w:kinsoku/>
        <w:wordWrap/>
        <w:overflowPunct/>
        <w:topLinePunct w:val="0"/>
        <w:autoSpaceDE/>
        <w:autoSpaceDN/>
        <w:bidi w:val="0"/>
        <w:adjustRightInd w:val="0"/>
        <w:snapToGrid w:val="0"/>
        <w:spacing w:after="60" w:line="300" w:lineRule="exact"/>
        <w:jc w:val="left"/>
        <w:textAlignment w:val="auto"/>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pP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16</w:t>
      </w:r>
      <w:r>
        <w:rPr>
          <w:rFonts w:hint="default" w:asciiTheme="minorAscii" w:hAnsiTheme="minorAscii" w:eastAsiaTheme="minorEastAsia" w:cstheme="minorEastAsia"/>
          <w:color w:val="000000" w:themeColor="text1"/>
          <w:sz w:val="24"/>
          <w:szCs w:val="24"/>
          <w14:textFill>
            <w14:solidFill>
              <w14:schemeClr w14:val="tx1"/>
            </w14:solidFill>
          </w14:textFill>
        </w:rPr>
        <w:t>节</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12V65Ah阀控式密封铅酸蓄电池负载6KW，理想情况下（不考虑损耗和放电深度），续航时间为：</w:t>
      </w:r>
    </w:p>
    <w:p>
      <w:pPr>
        <w:keepNext w:val="0"/>
        <w:keepLines w:val="0"/>
        <w:pageBreakBefore w:val="0"/>
        <w:widowControl w:val="0"/>
        <w:tabs>
          <w:tab w:val="left" w:pos="0"/>
        </w:tabs>
        <w:kinsoku/>
        <w:wordWrap/>
        <w:overflowPunct/>
        <w:topLinePunct w:val="0"/>
        <w:autoSpaceDE/>
        <w:autoSpaceDN/>
        <w:bidi w:val="0"/>
        <w:adjustRightInd w:val="0"/>
        <w:snapToGrid w:val="0"/>
        <w:spacing w:after="60" w:line="300" w:lineRule="exact"/>
        <w:jc w:val="left"/>
        <w:textAlignment w:val="auto"/>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pP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12480 Wh ÷ 6000 W ≈ 2.08 小时 （约2小时5分钟）</w:t>
      </w:r>
    </w:p>
    <w:p>
      <w:pPr>
        <w:keepNext w:val="0"/>
        <w:keepLines w:val="0"/>
        <w:pageBreakBefore w:val="0"/>
        <w:widowControl w:val="0"/>
        <w:tabs>
          <w:tab w:val="left" w:pos="0"/>
        </w:tabs>
        <w:kinsoku/>
        <w:wordWrap/>
        <w:overflowPunct/>
        <w:topLinePunct w:val="0"/>
        <w:autoSpaceDE/>
        <w:autoSpaceDN/>
        <w:bidi w:val="0"/>
        <w:adjustRightInd w:val="0"/>
        <w:snapToGrid w:val="0"/>
        <w:spacing w:after="60" w:line="300" w:lineRule="exact"/>
        <w:jc w:val="left"/>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在实际应用中，考虑到50%的放电深度和90%的逆变器效率，本方案16节12V65Ah电池组带动6kW负载的实际续航时间大约为 56分钟。</w:t>
      </w:r>
    </w:p>
    <w:p>
      <w:pPr>
        <w:pStyle w:val="5"/>
        <w:pageBreakBefore w:val="0"/>
        <w:widowControl w:val="0"/>
        <w:kinsoku/>
        <w:wordWrap/>
        <w:overflowPunct/>
        <w:topLinePunct w:val="0"/>
        <w:autoSpaceDE/>
        <w:autoSpaceDN/>
        <w:bidi w:val="0"/>
        <w:spacing w:before="166" w:after="166"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各中心设备设施组成及需求数量</w:t>
      </w:r>
    </w:p>
    <w:p>
      <w:pPr>
        <w:pStyle w:val="7"/>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市局中心指挥调度设备设施</w:t>
      </w:r>
    </w:p>
    <w:tbl>
      <w:tblPr>
        <w:tblStyle w:val="19"/>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913"/>
        <w:gridCol w:w="928"/>
        <w:gridCol w:w="643"/>
        <w:gridCol w:w="3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blHeader/>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92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64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1</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融合通信一体机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送政务数据中心机房托管。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2</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媒体会议一体机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送政务数据中心机房托管。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3</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媒体录制一体机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送政务数据中心机房托管。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数字电话网关</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融合通信系统组件。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视频接入网关</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融合通信系统组件。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音频接入网关（2路）</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融合通信-数字广播系统组件。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7</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融合通信API开发接口</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w:t>
            </w:r>
            <w:r>
              <w:rPr>
                <w:rFonts w:hint="default" w:asciiTheme="minorAscii" w:hAnsiTheme="minorAscii" w:eastAsiaTheme="minorEastAsia" w:cstheme="minorEastAsia"/>
                <w:sz w:val="18"/>
                <w:szCs w:val="18"/>
                <w:highlight w:val="none"/>
                <w:lang w:val="en-US" w:eastAsia="zh-CN"/>
              </w:rPr>
              <w:t>白龙湖‘三水一体’智慧管控数据资源及应用支撑层</w:t>
            </w: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8</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移动端SDK接口软件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详细设计见“</w:t>
            </w:r>
            <w:r>
              <w:rPr>
                <w:rFonts w:hint="default" w:asciiTheme="minorAscii" w:hAnsiTheme="minorAscii" w:eastAsiaTheme="minorEastAsia" w:cstheme="minorEastAsia"/>
                <w:sz w:val="18"/>
                <w:szCs w:val="18"/>
                <w:highlight w:val="none"/>
                <w:lang w:val="en-US" w:eastAsia="zh-CN"/>
              </w:rPr>
              <w:t>白龙湖‘三水一体’智慧管控数据资源及应用支撑层</w:t>
            </w:r>
            <w:r>
              <w:rPr>
                <w:rFonts w:hint="default" w:asciiTheme="minorAscii" w:hAnsiTheme="minorAscii" w:eastAsiaTheme="minorEastAsia" w:cstheme="minorEastAsia"/>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9</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指挥调度台</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融合通信系统组件。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10</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LED显示单元（P0.9）</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大屏显示。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11</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拼接处理器</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大屏控制。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12</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无纸化会议管理主机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3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无纸化会议系统。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13</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无纸化会议终端及带话筒升降显示器（套装）</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18</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台</w:t>
            </w:r>
          </w:p>
        </w:tc>
        <w:tc>
          <w:tcPr>
            <w:tcW w:w="373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无纸化会议系统。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14</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AI流媒体网关</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无纸化会议系统。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15</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数字多功能视像会议主机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无纸化会议系统。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16</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功率放大器</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17</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音频处理器</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18</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调音台</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19</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反馈抑制器</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20</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音响</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只</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21</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无线一拖四</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22</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环境集中控制主机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23</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电源时序器</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24</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电源控制器</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25</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视频会议MCU</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视频会议系统，送政务数据中心机房托管。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26</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会议终端</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27</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98″会议平板一体机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highlight w:val="none"/>
                <w:vertAlign w:val="baseline"/>
                <w:lang w:val="en-US" w:eastAsia="zh-CN" w:bidi="ar-SA"/>
              </w:rPr>
            </w:pPr>
            <w:r>
              <w:rPr>
                <w:rFonts w:hint="default" w:asciiTheme="minorAscii" w:hAnsiTheme="minorAscii" w:eastAsiaTheme="minorEastAsia" w:cstheme="minorEastAsia"/>
                <w:sz w:val="18"/>
                <w:szCs w:val="18"/>
                <w:highlight w:val="none"/>
                <w:vertAlign w:val="baseline"/>
                <w:lang w:val="en-US" w:eastAsia="zh-CN"/>
              </w:rPr>
              <w:t>28</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highlight w:val="none"/>
                <w:vertAlign w:val="baseline"/>
                <w:lang w:val="en-US" w:eastAsia="zh-CN"/>
              </w:rPr>
            </w:pPr>
            <w:r>
              <w:rPr>
                <w:rFonts w:hint="default" w:asciiTheme="minorAscii" w:hAnsiTheme="minorAscii" w:eastAsiaTheme="minorEastAsia" w:cstheme="minorEastAsia"/>
                <w:sz w:val="18"/>
                <w:szCs w:val="18"/>
                <w:highlight w:val="none"/>
                <w:vertAlign w:val="baseline"/>
                <w:lang w:val="en-US" w:eastAsia="zh-CN"/>
              </w:rPr>
              <w:t>会议摄像机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29</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会控平板</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30</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无线AP</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31</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值班电脑</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鹅颈电容值班麦</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支</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33</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值班话务耳机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副</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34</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便携式智慧调度应用终端</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融合通信系统。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35</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空间改造</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项</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36</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大型全实木长条会议桌（定制）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37</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实木会议椅</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28</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把</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38</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实木会议桌（1.4m）</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张</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39</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会议用品储藏柜</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个</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40</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两联操作台（定制）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41</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42U机柜</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42</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24口交换机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网络接入。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43</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UPS后备电源系统</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后备电源。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44</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一级能效变频空调（1.5P）</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阳台间机柜内设备降温。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45</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一级能效变频空调（5P）</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指挥中心环境温度调节。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46</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动力电引入及分配</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项</w:t>
            </w:r>
          </w:p>
        </w:tc>
        <w:tc>
          <w:tcPr>
            <w:tcW w:w="373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中心配套设施。</w:t>
            </w:r>
          </w:p>
        </w:tc>
      </w:tr>
    </w:tbl>
    <w:p>
      <w:pPr>
        <w:pStyle w:val="7"/>
        <w:keepNext/>
        <w:keepLines/>
        <w:pageBreakBefore w:val="0"/>
        <w:widowControl w:val="0"/>
        <w:kinsoku/>
        <w:wordWrap/>
        <w:overflowPunct/>
        <w:topLinePunct w:val="0"/>
        <w:autoSpaceDE/>
        <w:autoSpaceDN/>
        <w:bidi w:val="0"/>
        <w:adjustRightInd/>
        <w:snapToGrid w:val="0"/>
        <w:spacing w:before="499" w:beforeLines="1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飞凤-利州分中心指挥调度设备设施</w:t>
      </w:r>
    </w:p>
    <w:tbl>
      <w:tblPr>
        <w:tblStyle w:val="19"/>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912"/>
        <w:gridCol w:w="928"/>
        <w:gridCol w:w="643"/>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291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92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64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环境集中控制主机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电源时序器</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电源控制器</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音频接入网关（1路）</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融合通信-数字广播系统。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5</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会议终端</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98″会议平板一体机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7</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会议摄像机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8</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会控平板</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9</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无线AP</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分中心配套设施。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10</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功率放大器</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11</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调音台</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12</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反馈抑制器</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13</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无线一拖四</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14</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音响</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只</w:t>
            </w:r>
          </w:p>
        </w:tc>
        <w:tc>
          <w:tcPr>
            <w:tcW w:w="37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15</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值班电脑</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16</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16口交换机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网络接入。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17</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98″4K超薄显示屏</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18</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鹅颈电容值班麦</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支</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19</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值班话务耳机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副</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20</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32U机柜</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分中心配套设施。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21</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电源线缆</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项</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22</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三联操作台（定制）</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套</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23</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值班座椅</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把</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24</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音视频线缆</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项</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25</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线缆保护管及辅材</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项</w:t>
            </w:r>
          </w:p>
        </w:tc>
        <w:tc>
          <w:tcPr>
            <w:tcW w:w="373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bl>
    <w:p>
      <w:pPr>
        <w:pStyle w:val="7"/>
        <w:keepNext/>
        <w:keepLines/>
        <w:pageBreakBefore w:val="0"/>
        <w:widowControl w:val="0"/>
        <w:kinsoku/>
        <w:wordWrap/>
        <w:overflowPunct/>
        <w:topLinePunct w:val="0"/>
        <w:autoSpaceDE/>
        <w:autoSpaceDN/>
        <w:bidi w:val="0"/>
        <w:adjustRightInd/>
        <w:snapToGrid w:val="0"/>
        <w:spacing w:before="499" w:beforeLines="1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幸福岛-青川分中心指挥调度设备设施</w:t>
      </w:r>
    </w:p>
    <w:tbl>
      <w:tblPr>
        <w:tblStyle w:val="19"/>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912"/>
        <w:gridCol w:w="928"/>
        <w:gridCol w:w="643"/>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291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92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64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市中心原有LED屏利旧迁建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项</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大屏显示。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环境集中控制主机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电源时序器</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电源控制器</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5</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音频接入网关（1路）</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融合通信-数字广播系统。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会议终端</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7</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98″会议平板一体机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8</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会议摄像机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9</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会控平板</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10</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无线AP</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分中心配套设施。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11</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功率放大器</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12</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调音台</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13</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反馈抑制器</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14</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无线一拖四</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15</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音响</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4</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只</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会议扩声系统。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16</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值班电脑</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17</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鹅颈电容值班麦</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支</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18</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值班话务耳机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副</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19</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16口交换机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网络接入。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20</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三联操作台（定制）</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分中心配套设施。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21</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32U机柜</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分中心配套设施。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22</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值班座椅</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把</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23</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电源线缆</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项</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24</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音视频线缆</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项</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25</w:t>
            </w:r>
          </w:p>
        </w:tc>
        <w:tc>
          <w:tcPr>
            <w:tcW w:w="291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线缆保护管及辅材</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项</w:t>
            </w:r>
          </w:p>
        </w:tc>
        <w:tc>
          <w:tcPr>
            <w:tcW w:w="3787"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bl>
    <w:p>
      <w:pPr>
        <w:pStyle w:val="7"/>
        <w:keepNext/>
        <w:keepLines/>
        <w:pageBreakBefore w:val="0"/>
        <w:widowControl w:val="0"/>
        <w:kinsoku/>
        <w:wordWrap/>
        <w:overflowPunct/>
        <w:topLinePunct w:val="0"/>
        <w:autoSpaceDE/>
        <w:autoSpaceDN/>
        <w:bidi w:val="0"/>
        <w:adjustRightInd/>
        <w:snapToGrid w:val="0"/>
        <w:spacing w:before="499" w:beforeLines="15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沙州副中心指挥调度设备设施</w:t>
      </w:r>
    </w:p>
    <w:tbl>
      <w:tblPr>
        <w:tblStyle w:val="19"/>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913"/>
        <w:gridCol w:w="928"/>
        <w:gridCol w:w="643"/>
        <w:gridCol w:w="3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92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64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98″会议平板一体机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值班电脑</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边缘计算主机</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台</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企业级硬盘（8TB）</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16</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块</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16口交换机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6</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三联操作台（定制）</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套</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7</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值班椅</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2</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把</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8</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32U机柜</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kern w:val="2"/>
                <w:sz w:val="18"/>
                <w:szCs w:val="18"/>
                <w:vertAlign w:val="baseline"/>
                <w:lang w:val="en-US" w:eastAsia="zh-CN" w:bidi="ar-SA"/>
              </w:rPr>
              <w:t>台</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9</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电源线缆</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项</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10</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音视频线缆</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项</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11</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线缆保护管及辅材</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1</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项</w:t>
            </w:r>
          </w:p>
        </w:tc>
        <w:tc>
          <w:tcPr>
            <w:tcW w:w="377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bl>
    <w:p>
      <w:pPr>
        <w:pStyle w:val="7"/>
        <w:keepNext/>
        <w:keepLines/>
        <w:pageBreakBefore w:val="0"/>
        <w:widowControl w:val="0"/>
        <w:kinsoku/>
        <w:wordWrap/>
        <w:overflowPunct/>
        <w:topLinePunct w:val="0"/>
        <w:autoSpaceDE/>
        <w:autoSpaceDN/>
        <w:bidi w:val="0"/>
        <w:adjustRightInd/>
        <w:snapToGrid w:val="0"/>
        <w:spacing w:before="317" w:beforeLines="95"/>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3处协作点指挥调度设备设施</w:t>
      </w:r>
    </w:p>
    <w:tbl>
      <w:tblPr>
        <w:tblStyle w:val="19"/>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913"/>
        <w:gridCol w:w="928"/>
        <w:gridCol w:w="643"/>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序号</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设备设施名称</w:t>
            </w:r>
          </w:p>
        </w:tc>
        <w:tc>
          <w:tcPr>
            <w:tcW w:w="92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数量</w:t>
            </w:r>
          </w:p>
        </w:tc>
        <w:tc>
          <w:tcPr>
            <w:tcW w:w="64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单位</w:t>
            </w:r>
          </w:p>
        </w:tc>
        <w:tc>
          <w:tcPr>
            <w:tcW w:w="3765"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18"/>
                <w:szCs w:val="18"/>
                <w:vertAlign w:val="baseline"/>
                <w:lang w:val="en-US" w:eastAsia="zh-CN"/>
              </w:rPr>
            </w:pPr>
            <w:r>
              <w:rPr>
                <w:rFonts w:hint="default" w:asciiTheme="minorAscii" w:hAnsiTheme="minorAscii" w:eastAsiaTheme="minorEastAsia" w:cstheme="minorEastAsia"/>
                <w:b/>
                <w:bCs/>
                <w:sz w:val="18"/>
                <w:szCs w:val="1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65″会议平板一体机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2</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会议终端</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2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会议摄像机</w:t>
            </w:r>
          </w:p>
        </w:tc>
        <w:tc>
          <w:tcPr>
            <w:tcW w:w="92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3</w:t>
            </w:r>
          </w:p>
        </w:tc>
        <w:tc>
          <w:tcPr>
            <w:tcW w:w="64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kern w:val="2"/>
                <w:sz w:val="18"/>
                <w:szCs w:val="18"/>
                <w:vertAlign w:val="baseline"/>
                <w:lang w:val="en-US" w:eastAsia="zh-CN" w:bidi="ar-SA"/>
              </w:rPr>
            </w:pPr>
            <w:r>
              <w:rPr>
                <w:rFonts w:hint="default" w:asciiTheme="minorAscii" w:hAnsiTheme="minorAscii" w:eastAsiaTheme="minorEastAsia" w:cstheme="minorEastAsia"/>
                <w:sz w:val="18"/>
                <w:szCs w:val="18"/>
                <w:vertAlign w:val="baseline"/>
                <w:lang w:val="en-US" w:eastAsia="zh-CN"/>
              </w:rPr>
              <w:t>台</w:t>
            </w:r>
          </w:p>
        </w:tc>
        <w:tc>
          <w:tcPr>
            <w:tcW w:w="37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视频会议系统。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4</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全向麦</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3</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只</w:t>
            </w:r>
          </w:p>
        </w:tc>
        <w:tc>
          <w:tcPr>
            <w:tcW w:w="37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拾音，返听。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5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5</w:t>
            </w:r>
          </w:p>
        </w:tc>
        <w:tc>
          <w:tcPr>
            <w:tcW w:w="2913"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线缆、保护管及辅材</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1</w:t>
            </w:r>
          </w:p>
        </w:tc>
        <w:tc>
          <w:tcPr>
            <w:tcW w:w="643"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300" w:lineRule="exact"/>
              <w:ind w:firstLine="0" w:firstLineChars="0"/>
              <w:jc w:val="center"/>
              <w:textAlignment w:val="center"/>
              <w:rPr>
                <w:rFonts w:hint="default" w:asciiTheme="minorAscii" w:hAnsiTheme="minorAscii" w:eastAsiaTheme="minorEastAsia" w:cstheme="minorEastAsia"/>
                <w:sz w:val="18"/>
                <w:szCs w:val="18"/>
                <w:vertAlign w:val="baseline"/>
                <w:lang w:val="en-US" w:eastAsia="zh-CN"/>
              </w:rPr>
            </w:pPr>
            <w:r>
              <w:rPr>
                <w:rFonts w:hint="default" w:asciiTheme="minorAscii" w:hAnsiTheme="minorAscii" w:eastAsiaTheme="minorEastAsia" w:cstheme="minorEastAsia"/>
                <w:sz w:val="18"/>
                <w:szCs w:val="18"/>
                <w:vertAlign w:val="baseline"/>
                <w:lang w:val="en-US" w:eastAsia="zh-CN"/>
              </w:rPr>
              <w:t>项</w:t>
            </w:r>
          </w:p>
        </w:tc>
        <w:tc>
          <w:tcPr>
            <w:tcW w:w="3765"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18"/>
                <w:szCs w:val="18"/>
                <w:vertAlign w:val="baseline"/>
                <w:lang w:val="en-US" w:eastAsia="zh-CN"/>
              </w:rPr>
            </w:pPr>
          </w:p>
        </w:tc>
      </w:tr>
    </w:tbl>
    <w:p>
      <w:pPr>
        <w:pStyle w:val="4"/>
        <w:keepNext w:val="0"/>
        <w:keepLines w:val="0"/>
        <w:pageBreakBefore w:val="0"/>
        <w:widowControl w:val="0"/>
        <w:kinsoku/>
        <w:wordWrap/>
        <w:overflowPunct/>
        <w:topLinePunct w:val="0"/>
        <w:autoSpaceDE/>
        <w:autoSpaceDN/>
        <w:bidi w:val="0"/>
        <w:adjustRightInd/>
        <w:snapToGrid w:val="0"/>
        <w:spacing w:before="333" w:beforeLines="100" w:after="166" w:line="300" w:lineRule="exact"/>
        <w:textAlignment w:val="auto"/>
        <w:rPr>
          <w:rFonts w:hint="default" w:asciiTheme="minorAscii" w:hAnsiTheme="minorAscii" w:eastAsiaTheme="minorEastAsia" w:cstheme="minorEastAsia"/>
          <w:sz w:val="24"/>
          <w:szCs w:val="24"/>
        </w:rPr>
      </w:pPr>
      <w:bookmarkStart w:id="111" w:name="_Toc14588"/>
      <w:r>
        <w:rPr>
          <w:rFonts w:hint="default" w:asciiTheme="minorAscii" w:hAnsiTheme="minorAscii" w:eastAsiaTheme="minorEastAsia" w:cstheme="minorEastAsia"/>
          <w:sz w:val="24"/>
          <w:szCs w:val="24"/>
          <w:lang w:val="en-US" w:eastAsia="zh-CN"/>
        </w:rPr>
        <w:t>沙州应急指挥中心基础设施建设</w:t>
      </w:r>
      <w:bookmarkEnd w:id="111"/>
    </w:p>
    <w:p>
      <w:pPr>
        <w:pStyle w:val="5"/>
        <w:keepNext w:val="0"/>
        <w:keepLines w:val="0"/>
        <w:pageBreakBefore w:val="0"/>
        <w:widowControl w:val="0"/>
        <w:kinsoku/>
        <w:wordWrap/>
        <w:overflowPunct/>
        <w:topLinePunct w:val="0"/>
        <w:autoSpaceDE/>
        <w:autoSpaceDN/>
        <w:bidi w:val="0"/>
        <w:adjustRightInd/>
        <w:snapToGrid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应急指挥中心工作站</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kern w:val="0"/>
          <w:sz w:val="24"/>
          <w:szCs w:val="24"/>
          <w:lang w:val="en-US" w:eastAsia="zh-CN"/>
        </w:rPr>
      </w:pPr>
      <w:r>
        <w:rPr>
          <w:rFonts w:hint="default" w:asciiTheme="minorAscii" w:hAnsiTheme="minorAscii" w:eastAsiaTheme="minorEastAsia" w:cstheme="minorEastAsia"/>
          <w:kern w:val="0"/>
          <w:sz w:val="24"/>
          <w:szCs w:val="24"/>
          <w:lang w:val="en-US" w:eastAsia="zh-CN"/>
        </w:rPr>
        <w:t>结合“3.3.2 应急指挥中心基础设施建设”的技术方案描述，沙州应急指挥中心工作站建设应确保应急指挥调度功能的正常运行，须具备融合通信能力；须支持视频调度、语音调度和广播调度；须确保相关部门、相关岗位实现“一网统管”。由于3.3.2章已详细设计了完整的应急指挥中心基础设施建设方案，本章不再赘述，而是在分部分项工程量清单设计具体的建设内容。</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应急指挥中心工作站详细配置及性能参数要求，见“广元白龙湖风景名胜区三水一体协同管控体系建设项目”分部分项工程量清单。</w:t>
      </w:r>
    </w:p>
    <w:p>
      <w:pPr>
        <w:pStyle w:val="5"/>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中心显示单元</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显示单元是基于全彩模组拼接的室内墙上显示系统，由显示单元、控制系统、信息处理系统、配电系统、安全防护系统及结构框架工程构成。</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显示单元类型为户内显示模组单元。</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显示单元控制系统包括控制卡、发送卡、通信网线或光纤及配套转接器或无线传输模块等。</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显示单元信息处理系统包括视频处理器，外接设备转换部分，如音视频矩阵、电视信号机顶盒等。</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显示单元配电系统包括显示屏配电箱及内置远程上电模块，用来进行过流、过压、过载保护。</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显示单元安全防护系统包括：防高温；防尘、防潮；防噪音污染；防过流、短路、断路、过压、欠压等。</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中心显示单元详细配置及性能参数要求，见“广元白龙湖风景名胜区三水一体协同管控体系建设项目”分部分项工程量清单。</w:t>
      </w:r>
    </w:p>
    <w:p>
      <w:pPr>
        <w:pStyle w:val="5"/>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便携式7参水质检测仪</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参数水质检测仪采用电化学法，无需化学试剂，环保无污，运用高精度数字电极，对水质中COD、氨氮、pH、溶解氧、电导率、浊度、温度、ORP、TDS、叶绿素a、蓝绿藻、悬浮物、余氯、水中油、盐度等项目进行快速检测。</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系统构成</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采用安卓或鸿蒙等智能操作系统，可视化模块设计，搭载高清彩色液晶大屏，触控式界面设计。支持内置4G网络、Wifi，可实时上传数据到政务云平台，可实现GPS定位，可与手机及电脑实时同步数据。</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测量范围、测量精度</w:t>
      </w:r>
    </w:p>
    <w:tbl>
      <w:tblPr>
        <w:tblStyle w:val="19"/>
        <w:tblW w:w="0" w:type="auto"/>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529"/>
        <w:gridCol w:w="1413"/>
        <w:gridCol w:w="1413"/>
        <w:gridCol w:w="1414"/>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b/>
                <w:bCs/>
                <w:snapToGrid w:val="0"/>
                <w:kern w:val="0"/>
                <w:sz w:val="18"/>
                <w:szCs w:val="18"/>
                <w:vertAlign w:val="baseline"/>
                <w:lang w:val="en-US" w:eastAsia="zh-CN"/>
              </w:rPr>
            </w:pPr>
            <w:r>
              <w:rPr>
                <w:rFonts w:hint="default" w:asciiTheme="minorAscii" w:hAnsiTheme="minorAscii" w:eastAsiaTheme="minorEastAsia" w:cstheme="minorEastAsia"/>
                <w:b/>
                <w:bCs/>
                <w:snapToGrid w:val="0"/>
                <w:kern w:val="0"/>
                <w:sz w:val="18"/>
                <w:szCs w:val="18"/>
                <w:vertAlign w:val="baseline"/>
                <w:lang w:val="en-US" w:eastAsia="zh-CN"/>
              </w:rPr>
              <w:t>项目</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b/>
                <w:bCs/>
                <w:snapToGrid w:val="0"/>
                <w:kern w:val="0"/>
                <w:sz w:val="18"/>
                <w:szCs w:val="18"/>
                <w:vertAlign w:val="baseline"/>
                <w:lang w:val="en-US" w:eastAsia="zh-CN"/>
              </w:rPr>
            </w:pPr>
            <w:r>
              <w:rPr>
                <w:rFonts w:hint="default" w:asciiTheme="minorAscii" w:hAnsiTheme="minorAscii" w:eastAsiaTheme="minorEastAsia" w:cstheme="minorEastAsia"/>
                <w:b/>
                <w:bCs/>
                <w:snapToGrid w:val="0"/>
                <w:kern w:val="0"/>
                <w:sz w:val="18"/>
                <w:szCs w:val="18"/>
                <w:vertAlign w:val="baseline"/>
                <w:lang w:val="en-US" w:eastAsia="zh-CN"/>
              </w:rPr>
              <w:t>测量范围</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b/>
                <w:bCs/>
                <w:snapToGrid w:val="0"/>
                <w:kern w:val="0"/>
                <w:sz w:val="18"/>
                <w:szCs w:val="18"/>
                <w:vertAlign w:val="baseline"/>
                <w:lang w:val="en-US" w:eastAsia="zh-CN"/>
              </w:rPr>
            </w:pPr>
            <w:r>
              <w:rPr>
                <w:rFonts w:hint="default" w:asciiTheme="minorAscii" w:hAnsiTheme="minorAscii" w:eastAsiaTheme="minorEastAsia" w:cstheme="minorEastAsia"/>
                <w:b/>
                <w:bCs/>
                <w:snapToGrid w:val="0"/>
                <w:kern w:val="0"/>
                <w:sz w:val="18"/>
                <w:szCs w:val="18"/>
                <w:vertAlign w:val="baseline"/>
                <w:lang w:val="en-US" w:eastAsia="zh-CN"/>
              </w:rPr>
              <w:t>测量精度</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b/>
                <w:bCs/>
                <w:snapToGrid w:val="0"/>
                <w:kern w:val="0"/>
                <w:sz w:val="18"/>
                <w:szCs w:val="18"/>
                <w:vertAlign w:val="baseline"/>
                <w:lang w:val="en-US" w:eastAsia="zh-CN"/>
              </w:rPr>
            </w:pPr>
            <w:r>
              <w:rPr>
                <w:rFonts w:hint="default" w:asciiTheme="minorAscii" w:hAnsiTheme="minorAscii" w:eastAsiaTheme="minorEastAsia" w:cstheme="minorEastAsia"/>
                <w:b/>
                <w:bCs/>
                <w:snapToGrid w:val="0"/>
                <w:kern w:val="0"/>
                <w:sz w:val="18"/>
                <w:szCs w:val="18"/>
                <w:vertAlign w:val="baseline"/>
                <w:lang w:val="en-US" w:eastAsia="zh-CN"/>
              </w:rPr>
              <w:t>分辨率</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b/>
                <w:bCs/>
                <w:snapToGrid w:val="0"/>
                <w:kern w:val="0"/>
                <w:sz w:val="18"/>
                <w:szCs w:val="18"/>
                <w:vertAlign w:val="baseline"/>
                <w:lang w:val="en-US" w:eastAsia="zh-CN"/>
              </w:rPr>
            </w:pPr>
            <w:r>
              <w:rPr>
                <w:rFonts w:hint="default" w:asciiTheme="minorAscii" w:hAnsiTheme="minorAscii" w:eastAsiaTheme="minorEastAsia" w:cstheme="minorEastAsia"/>
                <w:b/>
                <w:bCs/>
                <w:snapToGrid w:val="0"/>
                <w:kern w:val="0"/>
                <w:sz w:val="18"/>
                <w:szCs w:val="18"/>
                <w:vertAlign w:val="baseline"/>
                <w:lang w:val="en-US" w:eastAsia="zh-CN"/>
              </w:rPr>
              <w:t>温度补偿</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b/>
                <w:bCs/>
                <w:snapToGrid w:val="0"/>
                <w:kern w:val="0"/>
                <w:sz w:val="18"/>
                <w:szCs w:val="18"/>
                <w:vertAlign w:val="baseline"/>
                <w:lang w:val="en-US" w:eastAsia="zh-CN"/>
              </w:rPr>
            </w:pPr>
            <w:r>
              <w:rPr>
                <w:rFonts w:hint="default" w:asciiTheme="minorAscii" w:hAnsiTheme="minorAscii" w:eastAsiaTheme="minorEastAsia" w:cstheme="minorEastAsia"/>
                <w:b/>
                <w:bCs/>
                <w:snapToGrid w:val="0"/>
                <w:kern w:val="0"/>
                <w:sz w:val="18"/>
                <w:szCs w:val="18"/>
                <w:vertAlign w:val="baseline"/>
                <w:lang w:val="en-US" w:eastAsia="zh-CN"/>
              </w:rPr>
              <w:t>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z w:val="18"/>
                <w:szCs w:val="18"/>
                <w:lang w:val="en-US" w:eastAsia="zh-CN"/>
              </w:rPr>
              <w:t>COD</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0-500mg/L</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±5%F.S.</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0.1mg/L</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z w:val="18"/>
                <w:szCs w:val="18"/>
                <w:lang w:val="en-US" w:eastAsia="zh-CN"/>
              </w:rPr>
              <w:t>氨氮</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0-100mg/L</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≤±10%</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0.01mg/L</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0-40℃</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z w:val="18"/>
                <w:szCs w:val="18"/>
                <w:lang w:val="en-US" w:eastAsia="zh-CN"/>
              </w:rPr>
              <w:t>pH</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0-14</w:t>
            </w:r>
            <w:r>
              <w:rPr>
                <w:rFonts w:hint="default" w:asciiTheme="minorAscii" w:hAnsiTheme="minorAscii" w:eastAsiaTheme="minorEastAsia" w:cstheme="minorEastAsia"/>
                <w:sz w:val="18"/>
                <w:szCs w:val="18"/>
                <w:lang w:val="en-US" w:eastAsia="zh-CN"/>
              </w:rPr>
              <w:t>pH</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w:t>
            </w:r>
            <w:r>
              <w:rPr>
                <w:rFonts w:hint="default" w:asciiTheme="minorAscii" w:hAnsiTheme="minorAscii" w:eastAsiaTheme="minorEastAsia" w:cstheme="minorEastAsia"/>
                <w:sz w:val="18"/>
                <w:szCs w:val="18"/>
                <w:lang w:val="en-US" w:eastAsia="zh-CN"/>
              </w:rPr>
              <w:t>pH</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0.01</w:t>
            </w:r>
            <w:r>
              <w:rPr>
                <w:rFonts w:hint="default" w:asciiTheme="minorAscii" w:hAnsiTheme="minorAscii" w:eastAsiaTheme="minorEastAsia" w:cstheme="minorEastAsia"/>
                <w:sz w:val="18"/>
                <w:szCs w:val="18"/>
                <w:lang w:val="en-US" w:eastAsia="zh-CN"/>
              </w:rPr>
              <w:t>pH</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0-65℃</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z w:val="18"/>
                <w:szCs w:val="18"/>
                <w:lang w:val="en-US" w:eastAsia="zh-CN"/>
              </w:rPr>
              <w:t>溶解氧</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0-20mg/L</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±1%</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0.01mg/L</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0-50℃</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z w:val="18"/>
                <w:szCs w:val="18"/>
                <w:lang w:val="en-US" w:eastAsia="zh-CN"/>
              </w:rPr>
              <w:t>电导率</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0-5000uS/cm</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±3%</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1uS/cm</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0-50℃</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z w:val="18"/>
                <w:szCs w:val="18"/>
                <w:lang w:val="en-US" w:eastAsia="zh-CN"/>
              </w:rPr>
              <w:t>浊度</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0-1000NTU</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R</w:t>
            </w:r>
            <w:r>
              <w:rPr>
                <w:rFonts w:hint="default" w:asciiTheme="minorAscii" w:hAnsiTheme="minorAscii" w:eastAsiaTheme="minorEastAsia" w:cstheme="minorEastAsia"/>
                <w:snapToGrid w:val="0"/>
                <w:kern w:val="0"/>
                <w:sz w:val="18"/>
                <w:szCs w:val="18"/>
                <w:vertAlign w:val="superscript"/>
                <w:lang w:val="en-US" w:eastAsia="zh-CN"/>
              </w:rPr>
              <w:t>2</w:t>
            </w:r>
            <w:r>
              <w:rPr>
                <w:rFonts w:hint="default" w:asciiTheme="minorAscii" w:hAnsiTheme="minorAscii" w:eastAsiaTheme="minorEastAsia" w:cstheme="minorEastAsia"/>
                <w:snapToGrid w:val="0"/>
                <w:kern w:val="0"/>
                <w:sz w:val="18"/>
                <w:szCs w:val="18"/>
                <w:vertAlign w:val="baseline"/>
                <w:lang w:val="en-US" w:eastAsia="zh-CN"/>
              </w:rPr>
              <w:t>&gt;0.999</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0.1NTU</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0-50℃</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温度</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0-60℃</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R</w:t>
            </w:r>
            <w:r>
              <w:rPr>
                <w:rFonts w:hint="default" w:asciiTheme="minorAscii" w:hAnsiTheme="minorAscii" w:eastAsiaTheme="minorEastAsia" w:cstheme="minorEastAsia"/>
                <w:snapToGrid w:val="0"/>
                <w:kern w:val="0"/>
                <w:sz w:val="18"/>
                <w:szCs w:val="18"/>
                <w:vertAlign w:val="superscript"/>
                <w:lang w:val="en-US" w:eastAsia="zh-CN"/>
              </w:rPr>
              <w:t>2</w:t>
            </w:r>
            <w:r>
              <w:rPr>
                <w:rFonts w:hint="default" w:asciiTheme="minorAscii" w:hAnsiTheme="minorAscii" w:eastAsiaTheme="minorEastAsia" w:cstheme="minorEastAsia"/>
                <w:snapToGrid w:val="0"/>
                <w:kern w:val="0"/>
                <w:sz w:val="18"/>
                <w:szCs w:val="18"/>
                <w:vertAlign w:val="baseline"/>
                <w:lang w:val="en-US" w:eastAsia="zh-CN"/>
              </w:rPr>
              <w:t>&gt;0.999</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偏移量校准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ORP</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-1500mV～+1500mV</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±5%</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1mV</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TDS</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0-1000mg/L</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±5%</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1mg/L</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0-50℃</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叶绿素a</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0.15-400ug/L</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R</w:t>
            </w:r>
            <w:r>
              <w:rPr>
                <w:rFonts w:hint="default" w:asciiTheme="minorAscii" w:hAnsiTheme="minorAscii" w:eastAsiaTheme="minorEastAsia" w:cstheme="minorEastAsia"/>
                <w:snapToGrid w:val="0"/>
                <w:kern w:val="0"/>
                <w:sz w:val="18"/>
                <w:szCs w:val="18"/>
                <w:vertAlign w:val="superscript"/>
                <w:lang w:val="en-US" w:eastAsia="zh-CN"/>
              </w:rPr>
              <w:t>2</w:t>
            </w:r>
            <w:r>
              <w:rPr>
                <w:rFonts w:hint="default" w:asciiTheme="minorAscii" w:hAnsiTheme="minorAscii" w:eastAsiaTheme="minorEastAsia" w:cstheme="minorEastAsia"/>
                <w:snapToGrid w:val="0"/>
                <w:kern w:val="0"/>
                <w:sz w:val="18"/>
                <w:szCs w:val="18"/>
                <w:vertAlign w:val="baseline"/>
                <w:lang w:val="en-US" w:eastAsia="zh-CN"/>
              </w:rPr>
              <w:t>&gt;0.999</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0.01ug/L</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0-45℃</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蓝绿藻</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0.15-100ug/L</w:t>
            </w:r>
          </w:p>
        </w:tc>
        <w:tc>
          <w:tcPr>
            <w:tcW w:w="14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0.01ug/L</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0-45℃</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悬浮物</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0-1000mg/L</w:t>
            </w:r>
          </w:p>
        </w:tc>
        <w:tc>
          <w:tcPr>
            <w:tcW w:w="14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0.1mg/L</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0-50℃</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余氯</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0-2mg/L</w:t>
            </w:r>
          </w:p>
        </w:tc>
        <w:tc>
          <w:tcPr>
            <w:tcW w:w="14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0.001mg/L</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5-50℃</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水中油</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0.15-300ppb</w:t>
            </w:r>
          </w:p>
        </w:tc>
        <w:tc>
          <w:tcPr>
            <w:tcW w:w="14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0.01ppb</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盐度</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0-70PSU</w:t>
            </w:r>
          </w:p>
        </w:tc>
        <w:tc>
          <w:tcPr>
            <w:tcW w:w="14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0.1PSU</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0-65℃</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7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z w:val="18"/>
                <w:szCs w:val="18"/>
                <w:lang w:val="en-US" w:eastAsia="zh-CN"/>
              </w:rPr>
            </w:pPr>
            <w:r>
              <w:rPr>
                <w:rFonts w:hint="default" w:asciiTheme="minorAscii" w:hAnsiTheme="minorAscii" w:eastAsiaTheme="minorEastAsia" w:cstheme="minorEastAsia"/>
                <w:sz w:val="18"/>
                <w:szCs w:val="18"/>
                <w:lang w:val="en-US" w:eastAsia="zh-CN"/>
              </w:rPr>
              <w:t>硝酸根</w:t>
            </w:r>
          </w:p>
        </w:tc>
        <w:tc>
          <w:tcPr>
            <w:tcW w:w="1529"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0-1000mg/L</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±10%</w:t>
            </w:r>
          </w:p>
        </w:tc>
        <w:tc>
          <w:tcPr>
            <w:tcW w:w="1413"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0.1mg/L</w:t>
            </w:r>
          </w:p>
        </w:tc>
        <w:tc>
          <w:tcPr>
            <w:tcW w:w="1414"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0-40℃</w:t>
            </w:r>
          </w:p>
        </w:tc>
        <w:tc>
          <w:tcPr>
            <w:tcW w:w="1881" w:type="dxa"/>
            <w:vAlign w:val="center"/>
          </w:tcPr>
          <w:p>
            <w:pPr>
              <w:pStyle w:val="3"/>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heme="minorAscii" w:hAnsiTheme="minorAscii" w:eastAsiaTheme="minorEastAsia" w:cstheme="minorEastAsia"/>
                <w:snapToGrid w:val="0"/>
                <w:kern w:val="0"/>
                <w:sz w:val="18"/>
                <w:szCs w:val="18"/>
                <w:vertAlign w:val="baseline"/>
                <w:lang w:val="en-US" w:eastAsia="zh-CN"/>
              </w:rPr>
            </w:pPr>
            <w:r>
              <w:rPr>
                <w:rFonts w:hint="default" w:asciiTheme="minorAscii" w:hAnsiTheme="minorAscii" w:eastAsiaTheme="minorEastAsia" w:cstheme="minorEastAsia"/>
                <w:snapToGrid w:val="0"/>
                <w:kern w:val="0"/>
                <w:sz w:val="18"/>
                <w:szCs w:val="18"/>
                <w:vertAlign w:val="baseline"/>
                <w:lang w:val="en-US" w:eastAsia="zh-CN"/>
              </w:rPr>
              <w:t>两点校准</w:t>
            </w:r>
          </w:p>
        </w:tc>
      </w:tr>
    </w:tbl>
    <w:p>
      <w:pPr>
        <w:keepNext w:val="0"/>
        <w:keepLines w:val="0"/>
        <w:pageBreakBefore w:val="0"/>
        <w:widowControl w:val="0"/>
        <w:kinsoku/>
        <w:wordWrap/>
        <w:overflowPunct/>
        <w:topLinePunct w:val="0"/>
        <w:autoSpaceDE/>
        <w:autoSpaceDN/>
        <w:bidi w:val="0"/>
        <w:adjustRightInd/>
        <w:snapToGrid w:val="0"/>
        <w:spacing w:before="333" w:beforeLines="10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便携式7参水质检测仪详细配置及性能参数要求，见“广元白龙湖风景名胜区三水一体协同管控体系建设项目”分部分项工程量清单。</w:t>
      </w:r>
    </w:p>
    <w:p>
      <w:pPr>
        <w:pStyle w:val="5"/>
        <w:keepNext/>
        <w:keepLines/>
        <w:pageBreakBefore w:val="0"/>
        <w:widowControl w:val="0"/>
        <w:kinsoku/>
        <w:wordWrap/>
        <w:overflowPunct/>
        <w:topLinePunct w:val="0"/>
        <w:autoSpaceDE/>
        <w:autoSpaceDN/>
        <w:bidi w:val="0"/>
        <w:adjustRightInd/>
        <w:snapToGrid w:val="0"/>
        <w:spacing w:before="333" w:beforeLines="100" w:line="300" w:lineRule="exact"/>
        <w:textAlignment w:val="bottom"/>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便携式生物毒性检测仪</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水质生物毒性检测仪主要依据GB/T 15441-1995《水质急性毒性测定发光细菌法》和ISO-11348-3《发光细菌 急性毒性的测定 费氏弧冻干粉法》检测原理设计，根据发光细菌在新陈代谢时发光强度的变化进行定性和定量检测，可在现场快速的对水质的污染情况进行检测。</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便携式生物毒性检测仪适用范围很广，运用于环境污染、紧急事故、安检、饮用水检测、生物污染、有毒化学物质、有毒有害废弃物、污水排放检测、雨水检测、沉积物检测、固体样品检测等领域水质毒性快速检测。</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系统构成</w:t>
      </w:r>
    </w:p>
    <w:p>
      <w:pPr>
        <w:pStyle w:val="3"/>
        <w:keepNext w:val="0"/>
        <w:keepLines w:val="0"/>
        <w:pageBreakBefore w:val="0"/>
        <w:widowControl w:val="0"/>
        <w:kinsoku/>
        <w:wordWrap/>
        <w:overflowPunct/>
        <w:topLinePunct w:val="0"/>
        <w:autoSpaceDE/>
        <w:autoSpaceDN/>
        <w:bidi w:val="0"/>
        <w:adjustRightInd w:val="0"/>
        <w:snapToGrid w:val="0"/>
        <w:spacing w:after="0"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采用安卓或鸿蒙等智能操作系统，可视化模块设计，搭载高清彩色液晶大屏，触控式界面设计。支持内置4G网络、Wifi，可实时上传数据到政务云平台，可实现GPS定位，可与手机及电脑实时同步数据。</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运用硅光电倍增管提高灵敏度，支持曲线设置多个浓度点，保证曲线值更准确。配置USB Type-C双面充电接口，支持充电，也可实现数据传输；配置蓝牙热敏打印机，检测完成后可实时打印检测报告。历史数据可实时查询，可选择开始结束时间调取往期检测数据。</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便携式生物毒性检测仪详细配置及性能参数要求，见“广元白龙湖风景名胜区三水一体协同管控体系建设项目”分部分项工程量清单。</w:t>
      </w:r>
    </w:p>
    <w:p>
      <w:pPr>
        <w:pStyle w:val="5"/>
        <w:keepNext/>
        <w:keepLines/>
        <w:pageBreakBefore w:val="0"/>
        <w:widowControl w:val="0"/>
        <w:kinsoku/>
        <w:wordWrap/>
        <w:overflowPunct/>
        <w:topLinePunct w:val="0"/>
        <w:autoSpaceDE/>
        <w:autoSpaceDN/>
        <w:bidi w:val="0"/>
        <w:adjustRightInd/>
        <w:snapToGrid w:val="0"/>
        <w:spacing w:before="333" w:beforeLines="100" w:line="300" w:lineRule="exact"/>
        <w:textAlignment w:val="bottom"/>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打捞船</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系统概述</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河湖水面漂浮物打捞船又名清漂船，通常为单体单机单桨前收前卸式结构，采用全液压系统，集切割、收集、储存、转运为一体，用途广泛，能够清理水面的水葫芦、打捞水面垃圾等。</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打捞船由动力系统、行走系统、液压系统、电气系统、打捞系统和传送系统等组成。</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系统构成</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动力系统由大功率柴油机组成，1台柴油机为全船提供行走动力；另1台柴油机为全船提供机械打捞、升降、自卸动力。</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行走系统由柴油机、齿轮箱、轴系、舵系、桨叶、液压舵机等组成。</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液压系统由柴油机驱动液压泵，通过溢流阀、多路阀、节流阀、液压油缸、液压管道、散热器等，驱动割草、传送、升降等执行机构。</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电气系统，一般采用24V直流电。</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打捞系统，是完成打捞作业的主要部分，由液压马达带动收集轮、收集臂完成。</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传送系统，将打捞的垃圾通过带有耙齿的不锈钢传送网链将水草、垃圾打捞上船，存放到储存仓，整个储存舱装满后船开到岸边将水草垃圾卸上岸。</w:t>
      </w:r>
    </w:p>
    <w:p>
      <w:pPr>
        <w:pStyle w:val="3"/>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打捞船详细配置及性能参数要求，见“广元白龙湖风景名胜区三水一体协同管控体系建设项目”分部分项工程量清单。</w:t>
      </w:r>
    </w:p>
    <w:p>
      <w:pPr>
        <w:pStyle w:val="4"/>
        <w:keepNext/>
        <w:keepLines/>
        <w:pageBreakBefore w:val="0"/>
        <w:widowControl w:val="0"/>
        <w:kinsoku/>
        <w:wordWrap/>
        <w:overflowPunct/>
        <w:topLinePunct w:val="0"/>
        <w:autoSpaceDE/>
        <w:autoSpaceDN/>
        <w:bidi w:val="0"/>
        <w:adjustRightInd w:val="0"/>
        <w:snapToGrid w:val="0"/>
        <w:spacing w:before="166" w:after="166" w:line="300" w:lineRule="exact"/>
        <w:textAlignment w:val="auto"/>
        <w:rPr>
          <w:rFonts w:hint="default" w:asciiTheme="minorAscii" w:hAnsiTheme="minorAscii" w:eastAsiaTheme="minorEastAsia" w:cstheme="minorEastAsia"/>
          <w:sz w:val="24"/>
          <w:szCs w:val="24"/>
        </w:rPr>
      </w:pPr>
      <w:bookmarkStart w:id="112" w:name="_Toc25033"/>
      <w:r>
        <w:rPr>
          <w:rFonts w:hint="default" w:asciiTheme="minorAscii" w:hAnsiTheme="minorAscii" w:eastAsiaTheme="minorEastAsia" w:cstheme="minorEastAsia"/>
          <w:sz w:val="24"/>
          <w:szCs w:val="24"/>
          <w:lang w:eastAsia="zh-CN"/>
        </w:rPr>
        <w:t>白龙湖“三水一体协同管控体系”风险源监测与环境应急平台</w:t>
      </w:r>
      <w:r>
        <w:rPr>
          <w:rFonts w:hint="default" w:asciiTheme="minorAscii" w:hAnsiTheme="minorAscii" w:eastAsiaTheme="minorEastAsia" w:cstheme="minorEastAsia"/>
          <w:sz w:val="24"/>
          <w:szCs w:val="24"/>
        </w:rPr>
        <w:t>建设</w:t>
      </w:r>
      <w:bookmarkEnd w:id="112"/>
      <w:r>
        <w:rPr>
          <w:rFonts w:hint="default" w:asciiTheme="minorAscii" w:hAnsiTheme="minorAscii" w:eastAsiaTheme="minorEastAsia" w:cstheme="minorEastAsia"/>
          <w:sz w:val="24"/>
          <w:szCs w:val="24"/>
        </w:rPr>
        <w:tab/>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“白龙湖风景名胜区三水一体协同管控体系”</w:t>
      </w:r>
      <w:r>
        <w:rPr>
          <w:rFonts w:hint="default" w:asciiTheme="minorAscii" w:hAnsiTheme="minorAscii" w:eastAsiaTheme="minorEastAsia" w:cstheme="minorEastAsia"/>
          <w:b/>
          <w:bCs/>
          <w:sz w:val="24"/>
          <w:szCs w:val="24"/>
          <w:lang w:val="en-US" w:eastAsia="zh-CN"/>
        </w:rPr>
        <w:t>风险源监测与环境应急平台</w:t>
      </w:r>
      <w:r>
        <w:rPr>
          <w:rFonts w:hint="default" w:asciiTheme="minorAscii" w:hAnsiTheme="minorAscii" w:eastAsiaTheme="minorEastAsia" w:cstheme="minorEastAsia"/>
          <w:sz w:val="24"/>
          <w:szCs w:val="24"/>
          <w:lang w:val="en-US" w:eastAsia="zh-CN"/>
        </w:rPr>
        <w:t>，是项目软件系统的统称，</w:t>
      </w:r>
      <w:r>
        <w:rPr>
          <w:rFonts w:hint="default" w:asciiTheme="minorAscii" w:hAnsiTheme="minorAscii" w:eastAsiaTheme="minorEastAsia" w:cstheme="minorEastAsia"/>
          <w:b/>
          <w:bCs/>
          <w:sz w:val="24"/>
          <w:szCs w:val="24"/>
          <w:u w:val="wave"/>
          <w:lang w:val="en-US" w:eastAsia="zh-CN"/>
        </w:rPr>
        <w:t>宏观上由应用系统和支撑系统两大板块组成</w:t>
      </w:r>
      <w:r>
        <w:rPr>
          <w:rFonts w:hint="default" w:asciiTheme="minorAscii" w:hAnsiTheme="minorAscii" w:eastAsiaTheme="minorEastAsia" w:cstheme="minorEastAsia"/>
          <w:sz w:val="24"/>
          <w:szCs w:val="24"/>
          <w:lang w:val="en-US" w:eastAsia="zh-CN"/>
        </w:rPr>
        <w:t>。支撑系统是连接硬件和软件之间的中台，其功能是接收硬件采集的数据、向硬件发出控制指令，以及对采集的数据进行整理、清洗、归集，提供给应用系统进行分析、预警、展示等。应用系统则是从不同的目标出发，对来自支撑系统的数据进行综合应用。本项目风险源监测与环境应急平台的应用系统包括：数据可视化系统、多维协同系统、指挥调度系统、智慧管理系统、全业务移动端、环境秩序导引系统和“三水”慢直播系统；支撑系统包括：AI支撑系统、应用支撑系统和物联支撑系统。运维系统则作为保障体系的实施手段，对软硬件的稳定运行提供全面的保障。共计11个支撑与应用子系统是以本项目可研报告“精准监管子系统”“无人机巡航管理子系统”“视频监控管理子系统”为基础，进一步深化、细分，充分利用项目基础能力，在不增加软件定制概算的情况下通过软件功能的优化，使项目智慧程度更高，处理业务更多，处理速率更快，输出结果更丰富，综合效益更显著。</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建议后期加强与广元城市大脑沟通对接，作为应用场景接入全市统一管理体系，视频、物联感知设备、融合通信、无人机等全面与城市大脑进行对接，做到一体指挥、一体管控。</w:t>
      </w:r>
    </w:p>
    <w:p>
      <w:pPr>
        <w:pStyle w:val="5"/>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pacing w:val="-6"/>
          <w:sz w:val="24"/>
          <w:szCs w:val="24"/>
          <w:lang w:val="en-US" w:eastAsia="zh-CN"/>
        </w:rPr>
      </w:pPr>
      <w:r>
        <w:rPr>
          <w:rFonts w:hint="default" w:asciiTheme="minorAscii" w:hAnsiTheme="minorAscii" w:eastAsiaTheme="minorEastAsia" w:cstheme="minorEastAsia"/>
          <w:sz w:val="24"/>
          <w:szCs w:val="24"/>
        </w:rPr>
        <w:t>系统</w:t>
      </w:r>
      <w:r>
        <w:rPr>
          <w:rFonts w:hint="default" w:asciiTheme="minorAscii" w:hAnsiTheme="minorAscii" w:eastAsiaTheme="minorEastAsia" w:cstheme="minorEastAsia"/>
          <w:sz w:val="24"/>
          <w:szCs w:val="24"/>
          <w:lang w:val="en-US" w:eastAsia="zh-CN"/>
        </w:rPr>
        <w:t>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平台技术栈具备深度信创适配能力，全面支持国产化硬件平台（包括ARM64架构的鲲鹏/飞腾处理器，以及x86_64架构的海光、兆芯处理器）和主流国产操作系统（如OpenEuler、OpenAnolis），是一个架构前瞻、能力全面的分布式云原生平台。其核心由高性能的跨平台服务框架构建，并采用声明式安全的统一身份认证与授权体系，确保了微服务架构下的应用安全与数据隔离。以极低的冷启动时间和卓越的同步/异步处理模型，在处理高并发I/O密集型请求时能提供更高的吞吐量和更短的响应延迟。通过容器化编排与可视化运维，实现了服务的快速弹性伸缩与高可用部署。平台内部通过高效的消息队列与事件驱动机制，解耦复杂业务流程，构建响应迅捷的异步处理管道。在实时交互层面，平台具备全双工即时通讯与基于浏览器的原生级、低延迟音视频实时传输能力，结合流媒体服务，构建沉浸式交互体验基础。前端采用渐进式框架与组件化UI构建响应式管理界面，并借助统一的编码范式输出到多端；强大的数据可视化引擎与灵活的地理信息系统则共同提供深度的业务洞察与空间分析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平台深度集成智能处理内核，将实时目标检测、图像分析与机器学习预测等核心能力，封装为低延迟、高并发的独立微服务。通过高效的服务通信框架，这些能力被无缝嵌入业务管道，形成从感知、分析到决策的闭环智能处理。此外，分布式对象存储服务保障海量文件的可靠存取；而全文搜索引擎与日志分析栈则实现数据的高速检索与运营状态的透明化监控。平台深度适配国产数据库生态，如openGauss、OceanBase等，为数据持久层提供高性能、高可靠的国产化选择。整体技术架构符合信创全栈要求，例如系统可采用</w:t>
      </w:r>
      <w:r>
        <w:rPr>
          <w:rFonts w:hint="default" w:asciiTheme="minorAscii" w:hAnsiTheme="minorAscii" w:eastAsiaTheme="minorEastAsia" w:cstheme="minorEastAsia"/>
          <w:sz w:val="24"/>
          <w:szCs w:val="24"/>
          <w:lang w:val="en-US" w:eastAsia="zh-CN"/>
        </w:rPr>
        <w:fldChar w:fldCharType="begin"/>
      </w:r>
      <w:r>
        <w:rPr>
          <w:rFonts w:hint="default" w:asciiTheme="minorAscii" w:hAnsiTheme="minorAscii" w:eastAsiaTheme="minorEastAsia" w:cstheme="minorEastAsia"/>
          <w:sz w:val="24"/>
          <w:szCs w:val="24"/>
          <w:lang w:val="en-US" w:eastAsia="zh-CN"/>
        </w:rPr>
        <w:instrText xml:space="preserve"> HYPERLINK "https://asp.net/" \t "https://chat.deepseek.com/a/chat/s/_blank" </w:instrText>
      </w:r>
      <w:r>
        <w:rPr>
          <w:rFonts w:hint="default" w:asciiTheme="minorAscii" w:hAnsiTheme="minorAscii" w:eastAsiaTheme="minorEastAsia" w:cstheme="minorEastAsia"/>
          <w:sz w:val="24"/>
          <w:szCs w:val="24"/>
          <w:lang w:val="en-US" w:eastAsia="zh-CN"/>
        </w:rPr>
        <w:fldChar w:fldCharType="separate"/>
      </w:r>
      <w:r>
        <w:rPr>
          <w:rFonts w:hint="default" w:asciiTheme="minorAscii" w:hAnsiTheme="minorAscii" w:eastAsiaTheme="minorEastAsia" w:cstheme="minorEastAsia"/>
          <w:sz w:val="24"/>
          <w:szCs w:val="24"/>
          <w:lang w:val="en-US" w:eastAsia="zh-CN"/>
        </w:rPr>
        <w:t>ASP.NET</w:t>
      </w:r>
      <w:r>
        <w:rPr>
          <w:rFonts w:hint="default" w:asciiTheme="minorAscii" w:hAnsiTheme="minorAscii" w:eastAsiaTheme="minorEastAsia" w:cstheme="minorEastAsia"/>
          <w:sz w:val="24"/>
          <w:szCs w:val="24"/>
          <w:lang w:val="en-US" w:eastAsia="zh-CN"/>
        </w:rPr>
        <w:fldChar w:fldCharType="end"/>
      </w:r>
      <w:r>
        <w:rPr>
          <w:rFonts w:hint="default" w:asciiTheme="minorAscii" w:hAnsiTheme="minorAscii" w:eastAsiaTheme="minorEastAsia" w:cstheme="minorEastAsia"/>
          <w:sz w:val="24"/>
          <w:szCs w:val="24"/>
          <w:lang w:val="en-US" w:eastAsia="zh-CN"/>
        </w:rPr>
        <w:t xml:space="preserve"> Core自托管架构，运行于openEuler与鲲鹏环境，前端由Nginx反向代理，确保从底层基础设施到上层应用的全链条自主可控。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pacing w:val="-6"/>
          <w:sz w:val="24"/>
          <w:szCs w:val="24"/>
          <w:lang w:val="en-US" w:eastAsia="zh-CN"/>
        </w:rPr>
      </w:pPr>
      <w:r>
        <w:rPr>
          <w:rFonts w:hint="default" w:asciiTheme="minorAscii" w:hAnsiTheme="minorAscii" w:eastAsiaTheme="minorEastAsia" w:cstheme="minorEastAsia"/>
          <w:sz w:val="24"/>
          <w:szCs w:val="24"/>
          <w:lang w:val="en-US" w:eastAsia="zh-CN"/>
        </w:rPr>
        <w:t>这一切共同塑造了一个技术密集、功能融合且能支撑亿级流量与多样化业务场景的现代化数字基座。如图4所示，白龙湖“三水一体协同管控体系”风险源监测与环境应急平台是本项目软件系统的统称，分别由应用层、应用支撑层和运维系统三大部分组成。其中，应用层包含①多维协同系统、②数据可视化系统、③指挥调度系统、④智慧管理系统、⑤环境秩序导引系统、⑥“三水”慢直播系统和⑦全业务移动端共7套定制开发的应用系统；应用支撑层由①AI支撑系统、②应用支撑系统和③物联支撑系统3套定制开发的支撑系统组成。除融合通信API开发接口、移动端SDK接口软件2项为采购成品软件外，其他系统均为基于上述国产化技术栈的定制开发，确保平台在信创环境中稳定、高效运行。</w:t>
      </w:r>
    </w:p>
    <w:p>
      <w:pPr>
        <w:pStyle w:val="5"/>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textAlignment w:val="auto"/>
        <w:rPr>
          <w:rFonts w:hint="default" w:asciiTheme="minorAscii" w:hAnsiTheme="minorAscii" w:eastAsiaTheme="minorEastAsia" w:cstheme="minorEastAsia"/>
          <w:b/>
          <w:bCs/>
          <w:kern w:val="2"/>
          <w:sz w:val="24"/>
          <w:szCs w:val="24"/>
          <w:lang w:val="en-US" w:eastAsia="zh-CN" w:bidi="ar-SA"/>
        </w:rPr>
      </w:pPr>
      <w:r>
        <w:rPr>
          <w:rFonts w:hint="default" w:asciiTheme="minorAscii" w:hAnsiTheme="minorAscii" w:eastAsiaTheme="minorEastAsia" w:cstheme="minorEastAsia"/>
          <w:b/>
          <w:bCs/>
          <w:kern w:val="2"/>
          <w:sz w:val="24"/>
          <w:szCs w:val="24"/>
          <w:u w:val="dotted"/>
          <w:lang w:val="en-US" w:eastAsia="zh-CN" w:bidi="ar-SA"/>
        </w:rPr>
        <w:t>支撑系统</w:t>
      </w:r>
    </w:p>
    <w:p>
      <w:pPr>
        <w:pStyle w:val="7"/>
        <w:keepNext w:val="0"/>
        <w:keepLines w:val="0"/>
        <w:pageBreakBefore w:val="0"/>
        <w:widowControl w:val="0"/>
        <w:kinsoku/>
        <w:wordWrap/>
        <w:overflowPunct/>
        <w:topLinePunct w:val="0"/>
        <w:autoSpaceDE/>
        <w:autoSpaceDN/>
        <w:bidi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AI支撑系统</w:t>
      </w:r>
    </w:p>
    <w:p>
      <w:pPr>
        <w:pStyle w:val="8"/>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I支撑系统是白龙湖风景名胜区“三水一体协同管控”整个智慧管理体系的“智能视觉中枢”，它通过赋能前端摄像头与视频流，使其具备“看懂、分析、预警”的能力。该系统综合利用计算机视觉、深度学习与大数据分析技术，实现对人员、动物、车辆、船只的闯入行为，以及烟火、违建、漂浮物、水体色变等多种异常场景的自动识别、分析与预警，并最终服务于河湖保护劝导及河湖健康度的自动化评价，为管理者提供高效、精准、主动的智能监管手段。</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AI支撑系统架构基于统一、自动化、协作理念，分为四大平台层（用户体验层 &amp; 应用层；AI工作流编排层；核心平台层；基础设施层），其核心是MLOps流水线。需要指出的是，本系统所用到的AI大模型可以是自行训练，也可以是引入第三方业已完成的成熟大模型。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用户体验层 &amp; 应用层包括：数据分析平台、模型开发平台、模型服务平台、运营监控；AI工作流编排层包括：数据工程、模型训练、模型评估、模型部署；核心平台层包括：数据平台、计算平台、模型平台、资源平台；基础设施层包括：计算、存储、网络、加速器。分层架构详解如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1）基础设施层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这是所有上层建筑的基石，专注于硬件和虚拟化资源。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计算：提供CPU服务器和虚拟机。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存储：提供对象存储（用于存放大规模数据、模型文件）、分布式文件系统（用于高性能训练）、数据库等。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网络：提供高速、低延迟的内部网络，以及负载均衡器等。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加速器：这是AI系统的核心算力来源。GPU集群是当前模型训练和推理的主力。在特定场景下也有应用。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2）核心平台层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这一层对底层基础设施进行抽象和封装，提供平台化的能力。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资源平台：通常基于 Kubernetes，它是管理容器化工作负载的事实标准。通过K8s可以高效地调度和管理分布式的训练任务和推理服务，实现资源的隔离和弹性伸缩。</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数据平台：集成了数据湖和数据仓库，负责数据的接入、清洗、存储和批流一体的数据处理。其核心产出是特征仓库。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特征仓库：是AI系统的“数据核心”。它将特征的定义、计算、存储和服务化统一管理，保证训练和推理时使用的特征一致性，避免训练-服务偏斜。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计算平台：在K8s之上，封装了针对AI任务的调度能力。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模型平台：核心是模型仓库，用于存储、版本化和管理训练好的模型（类似Git之于代码）。它记录了模型的元数据、性能指标和上下游关联。</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3）AI工作流编排层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这是MLOps的核心，将AI项目的生命周期自动化为一个可重复、可追溯的流水线。</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数据工程：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从数据平台获取原始数据。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进行数据清洗、验证。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调用特征仓库，生成用于训练的特征数据集。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模型训练：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在计算平台上启动分布式训练任务。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集成超参数自动调优，寻找最优模型。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使用实验跟踪工具记录每一次实验的代码、数据、参数和结果。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模型评估：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在预留的测试集和验证集上评估模型性能。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进行模型对比，选择最佳候选模型。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进行可解释性分析，理解模型的决策依据。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模型部署：</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将评估通过的模型打包成标准格式（如ONNX），并注册到模型仓库。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通过自动化流程将模型部署为在线API、批量推理任务或边缘端服务。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支持蓝绿部署和灰度发布，以降低发布风险。</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4）用户体验层 &amp; 应用层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为不同角色的用户提供友好的操作界面。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模型开发平台：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为数据科学家提供 Notebook（如JupyterLab）进行交互式探索和原型开发。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提供可视化的实验管理界面，方便用户查看、比较和复现实验。</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模型服务平台：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提供模型仓库的Web界面，方便模型的上传、下载和版本浏览。</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提供推理服务的API文档、测试界面和调用量监控。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集成A/B测试框架，方便业务方对多个模型进行线上效果对比。</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运营监控平台：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服务监控：监控推理服务的延迟、QPS、可用性等。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模型性能监控：这是关键！监控数据漂移和概念漂移。当线上数据分布发生变化或模型预测准确率下降时，自动告警并触发模型重新训练。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数据质量监控：监控输入推理服务的数据是否符合预期 schema 和质量要求。</w:t>
      </w:r>
    </w:p>
    <w:p>
      <w:pPr>
        <w:pStyle w:val="8"/>
        <w:pageBreakBefore w:val="0"/>
        <w:kinsoku/>
        <w:wordWrap/>
        <w:overflowPunct/>
        <w:topLinePunct w:val="0"/>
        <w:autoSpaceDE/>
        <w:autoSpaceDN/>
        <w:bidi w:val="0"/>
        <w:adjustRightInd w:val="0"/>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4310" cy="2061845"/>
            <wp:effectExtent l="0" t="0" r="13970" b="10795"/>
            <wp:docPr id="6" name="图片 6" descr="软件系统架构图20251217-AI支撑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软件系统架构图20251217-AI支撑系统"/>
                    <pic:cNvPicPr>
                      <a:picLocks noChangeAspect="1"/>
                    </pic:cNvPicPr>
                  </pic:nvPicPr>
                  <pic:blipFill>
                    <a:blip r:embed="rId50"/>
                    <a:stretch>
                      <a:fillRect/>
                    </a:stretch>
                  </pic:blipFill>
                  <pic:spPr>
                    <a:xfrm>
                      <a:off x="0" y="0"/>
                      <a:ext cx="5274310" cy="20618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图41 AI支撑系统功能结构图</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闯入监测：全天候的智能安全哨兵</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对禁止进入的区域进行实时监控，自动识别并告警各类违规闯入行为。</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人员闯入监测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区域入侵检测：在划定的电子围栏区域（如河道堤岸、水源保护区核心区）内，自动检测并识别闯入的人员，实时产生告警，并抓拍图片或短视频作为证据。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人员游泳识别：针对禁止游泳的水域，专门优化算法，能有效识别下水游泳的人员，及时触发告警，防范溺水事故与水污染风险。</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钓鱼识别：自动识别在禁钓区域内的垂钓行为，通过捕捉钓竿、人员坐姿等特征进行判断，实现对违规垂钓的精准管控。</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动物闯入监测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动物踪迹检测：在视频监控摄像机视野内，自动检测闯入的动物，抓拍图片或录制短视频，并触发预警提示。</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车辆闯入监测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车辆违停与闯入：在禁止车辆通行的区域（如堤坝路面、绿化带），自动识别闯入或违规停放的机动车辆，保障重点区域交通秩序与设施安全。</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船只闯入监测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船只禁区识别：在航道保护区、水源取水口等关键水域，自动识别未经许可闯入的船只，为水上交通安全与水源保护提供技术支持。</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综合管理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告警事件管理：作为统一的告警处理中心，对各类AI闯入告警进行接收、智能去重、人工复核、事件确认、任务分发与最终归档，形成完整的处置闭环。</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多样性监测：全方位的环境态势感知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超越安全范畴，实现对环境要素与异常现象的智能识别与分析。</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烟火识别</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林区烟火监测：自动检测监控画面中的烟雾与火焰像素，对林区、绿地周边的疑似火情进行早期识别与高等级告警，实现“打早、打小”。</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违法建设识别</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新增违建监测：通过AI图像比对技术，对周期性拍摄的同一区域图像进行分析，自动识别出河道边、保护区内新增的违法建筑物或构筑物。</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漂浮物分析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水面漂浮物识别：自动识别河道、湖面上的垃圾聚集、浮萍水华、油污泄漏等异常漂浮物，并能初步分析其覆盖面积，为清洁调度提供依据。</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水体颜色分析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水质异常变色识别：通过分析水体颜色特征，自动识别黑臭水体、赤潮、藻类过度繁殖等导致的水体异常颜色变化，作为水质恶化的早期预警信号。</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综合管理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监测任务与报表：支持创建和管理多样性的定时监测任务，对识别结果进行多维度统计分析，并自动生成周期性（日、周、月）监测报告，量化环境变化趋势。</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河湖健康评价：数据驱动的智能诊断</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将AI识别结果转化为高阶管理洞察，赋能科学决策。</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健康评价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指标综合评价：基于各类AI识别结果（如漂浮物覆盖率、违规事件频次、水体颜色异常指数等），结合其他监测数据，构建河湖健康评价模型，自动对河湖健康状况进行综合评分与等级划分（如健康、亚健康、不健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健康评价报告：系统能自动生成结构清晰、可视化的河湖健康评价报告，直观展示综合评分、主要扣分项（问题分布）、历史变化趋势及治理建议。</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系统功能：稳定可靠的技术底座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保障AI系统自身的安全、稳定与可管理性。</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基础支撑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用户权限与日志：提供完善的系统管理功能，包括用户、角色与权限的精细化管理。同时，全面记录所有用户的操作日志和AI分析任务的执行日志，满足审计与溯源需求。</w:t>
      </w:r>
    </w:p>
    <w:p>
      <w:pPr>
        <w:pStyle w:val="7"/>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应用支撑系统</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用支撑系统是白龙湖风景名胜区三水一体协同管控体系风险源监测与环境应急平台构建的技术基石与能力中枢。它通过构建统一、标准、可复用的技术能力平台，为上层所有业务应用（如数据可视化、多维协同、指挥调度、智慧管理等）提供身份认证、权限控制、数据共享、消息通讯、地理信息及日志审计等公共支撑服务。其核心目标是消除信息孤岛，保障系统安全，提升开发效率，节省开发成本，确保整个技术架构的规范性、可扩展性与可持续性。</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应用支撑系统架构基于提效降本、统一规范、加速创新、保障稳定原则采用分层设计，包括基础设施层和应用支撑平台层。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1）基础设施层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这是支撑系统的物理基础，通常由云平台或私有化机房提供。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核心能力：计算、存储、网络、容器编排、安全。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Kubernetes：作为容器编排的事实标准，是现代化应用支撑系统的操作系统，负责应用的生命周期管理和资源调度。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Service Mesh：负责处理服务间的通信，提供细粒度的流量管理、安全控制和可观测性，是微服务治理的下一代基础设施。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2）应用支撑平台层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这是架构的核心，包含了各类支撑服务。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 开发支撑框架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目标：提升开发效率，统一技术栈。</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微服务框架：提供微服务开发的基础套件（服务发现、配置管理、熔断等）。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应用脚手架：一键生成符合公司规范的项目结构，集成标准依赖和配置。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CI/CD流水线：自动化完成代码编译、构建、测试、部署，实现快速、可靠的交付。</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代码生成器：根据数据模型或接口定义，自动生成CRUD代码，减少重复劳动。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b. 通用业务能力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目标：将各业务系统通用的业务功能抽象成可复用的中心化服务。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用户中心：统一账户体系，提供单点登录功能。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权限中心：基于角色的访问控制，管理谁能在哪个系统里做什么。</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消息中心：管理站内信、通知模板等。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文件服务：统一的上传、下载、预览服务。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支付服务：聚合多种支付渠道，提供统一的支付接口。</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c. 核心技术能力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目标：提供稳定、高性能、高可用的分布式技术中间件。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API网关：所有外部请求的流量入口，负责路由、认证、限流、熔断、日志等。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d. 数据与智能服务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目标：为应用提供数据分析和AI能力。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数据平台：集成数据集成、开发、治理、服务化，提供统一的数据资产。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报表与BI平台：提供可视化的数据分析和报表制作工具。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算法平台：提供从特征工程、模型训练到模型服务的全流程AI能力支撑。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e. 平台管理运维</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目标：让平台自身可管、可控、可视。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平台门户/控制台：统一的入口，用于服务申请、使用和查看文档。</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监控告警中心：集成日志、指标、链路追踪，实现全方位的可观测性，并在异常时告警。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服务治理控制台：可视化地管理服务、配置路由规则、进行流量调度。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3）关键特性与设计原则</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服务化与API化：所有支撑能力都以服务的形式提供，并通过标准的API进行交互。这是松耦合的基础。</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高可用与可扩展性：支撑系统自身必须是高可用的，通常采用集群部署、多活架构，并能根据负载弹性伸缩。</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安全性：贯穿始终，包括网络安全、数据加密、访问控制、操作审计等。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可观测性：不仅仅是监控，要具备日志、指标、链路追踪三位一体的能力，能快速定位和解决问题。</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多用户与资源隔离：在大型组织中，需要支持多个业务部门或团队共享同一套平台，同时保证他们的资源、数据、配置相互隔离。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标准化与规范性：通过平台强制推行技术标准、开发规范、部署流程，提升整体工程质量。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4）与相关架构的关系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与业务中台的关系：应用支撑系统（技术中台）提供的是技术通用能力（如缓存、消息），而业务中台提供的是业务通用能力（如指挥调度、多维协同、智慧管理）。业务中台构建在应用支撑系统之上。</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与云原生：现代化的应用支撑系统本质上是云原生架构的实践，它深度依赖容器、K8s、Service Mesh、微服务等云原生技术。</w:t>
      </w:r>
    </w:p>
    <w:p>
      <w:pPr>
        <w:pStyle w:val="8"/>
        <w:pageBreakBefore w:val="0"/>
        <w:kinsoku/>
        <w:wordWrap/>
        <w:overflowPunct/>
        <w:topLinePunct w:val="0"/>
        <w:autoSpaceDE/>
        <w:autoSpaceDN/>
        <w:bidi w:val="0"/>
        <w:adjustRightInd w:val="0"/>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3675" cy="1702435"/>
            <wp:effectExtent l="0" t="0" r="14605" b="4445"/>
            <wp:docPr id="5" name="图片 5" descr="软件系统架构图-应用支撑系统2025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软件系统架构图-应用支撑系统20251116"/>
                    <pic:cNvPicPr>
                      <a:picLocks noChangeAspect="1"/>
                    </pic:cNvPicPr>
                  </pic:nvPicPr>
                  <pic:blipFill>
                    <a:blip r:embed="rId51"/>
                    <a:stretch>
                      <a:fillRect/>
                    </a:stretch>
                  </pic:blipFill>
                  <pic:spPr>
                    <a:xfrm>
                      <a:off x="0" y="0"/>
                      <a:ext cx="5273675" cy="17024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33" w:beforeLines="10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图42 应用支撑系统功能结构图</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统一权限管理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构建集中、精细、安全的访问控制体系，确保“正确的人访问正确的资源”。</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组织架构管理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组织树管理：实现对企业、部门、岗位、人员的多层级树形结构管理，真实映射实体组织关系。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人员信息管理：对系统所有用户的基本信息、账号状态（启用/禁用）及其所属部门与岗位进行集中维护。</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权限模型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角色管理：采用基于角色的访问控制（RBAC）模型，创建和维护系统角色（如超级管理员、业务管理员、审计员、普通用户）。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功能权限管理：精细配置各角色对系统菜单、页面按钮、后端API接口的访问与操作权限。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数据权限管理：实现基于组织架构的数据行级权限控制，例如，用户仅能查看和处理本部门或下属部门产生的业务数据。</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权限分配与审计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用户权限分配：支持为用户批量分配角色，同时也支持针对特定用户进行个性化的独立权限设置。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权限审计：提供权限分配情况的查询、统计与报表生成功能，满足合规性审查与内部审计要求。</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统一身份认证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提供安全、便捷、统一的用户身份管理与认证服务。</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认证核心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统一认证门户：作为所有应用系统的统一登录入口，支持账号密码、短信验证码、扫码等多种登录方式。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单点登录（SSO）：用户只需登录一次，即可在平台内各业务子系统间无缝切换，无需重复认证。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第三方应用接入：提供标准的OAuth 2.0/OpenID Connect协议接口，支持第三方应用快速、安全地接入统一认证体系。</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多因子认证（MFA）：支持基于TOTP动态令牌、短信、邮件的多因子认证，为高权限账户提供额外安全层。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账户安全策略：可集中配置密码复杂度要求、定期更换策略、连续登录失败锁定策略、会话超时时间等。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登录日志审计：记录所有用户的登录、登出行为，支持查询和分析异常登录尝试，助力安全运维。</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融合门户登录</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打造个性化、一站式的统一工作入口。</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门户首页</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个性化工作台：用户可根据习惯自定义首页布局、添加快捷应用入口、查看待办事项和个性化数据看板。</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应用市场：以应用商店的形式，集中展示并分类用户有权访问的所有业务系统，实现一键跳转。</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全局消息中心：在门户首页集成消息入口，集中显示系统通知、待办提醒等。</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门户管理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门户外观配置：管理员可统一配置门户的Logo、主题色彩、首页Banner等视觉元素，塑造统一的品牌形象。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菜单与导航管理：管理员可灵活配置门户顶部的全局导航菜单结构及各级下拉菜单。</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统一数据服务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构建数据枢纽，实现数据的共享、融合与高效服务化。</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数据资源管理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数据源管理：统一注册和管理平台内各类异构数据源的连接信息。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数据表管理：对核心数据表进行编目和元数据管理，形成数据资产目录。</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通用查询服务：通过配置化的方式，将常用的SQL查询或存储过程快速封装成标准、安全的RESTful API，供前端应用调用。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数据聚合服务：提供跨不同数据库和数据源的关联查询与数据聚合能力，生成复合型数据API，满足复杂业务场景需求。</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统一日志与审计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构建集中、智能的运维与安全审计中心。</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日志采集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操作日志采集：自动采集各业务系统的用户关键操作日志（如数据增删改、登录登出）。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系统日志采集：自动采集服务器、中间件、数据库等基础设施产生的系统日志。</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日志存储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日志数据归档：对海量日志进行结构化存储、建立高效索引，并实施冷热数据分离存储策略，平衡性能与成本。</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审计分析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综合查询与分析：提供强大的日志查询界面，支持多条件组合与关键词搜索，便于问题定位。</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安全事件告警：基于预设规则（如频繁失败登录、敏感数据访问）自动检测异常并触发告警。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合规性报表：预置常用审计报表模板，一键生成满足网络安全等级保护等合规要求的报表。</w:t>
      </w:r>
    </w:p>
    <w:p>
      <w:pPr>
        <w:pStyle w:val="9"/>
        <w:keepNext w:val="0"/>
        <w:keepLines w:val="0"/>
        <w:pageBreakBefore w:val="0"/>
        <w:widowControl w:val="0"/>
        <w:kinsoku/>
        <w:wordWrap/>
        <w:overflowPunct/>
        <w:topLinePunct w:val="0"/>
        <w:autoSpaceDE/>
        <w:autoSpaceDN/>
        <w:bidi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统一消息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构建高效、可靠、统一的消息推送与通信平台。</w:t>
      </w:r>
    </w:p>
    <w:p>
      <w:pPr>
        <w:pStyle w:val="10"/>
        <w:keepNext w:val="0"/>
        <w:keepLines w:val="0"/>
        <w:pageBreakBefore w:val="0"/>
        <w:widowControl w:val="0"/>
        <w:kinsoku/>
        <w:wordWrap/>
        <w:overflowPunct/>
        <w:topLinePunct w:val="0"/>
        <w:autoSpaceDE/>
        <w:autoSpaceDN/>
        <w:bidi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消息通道管理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通道配置与管理：统一管理和配置短信、邮件、微信模板消息、App推送等各类消息通道的参数。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通道健康监测：实时监测各通道的可用性和发送成功率，异常时及时告警。</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消息模板管理：为各类业务通知（验证码、告警、流程提醒）创建和维护内容模板。</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消息发送与记录：提供统一的API供业务系统调用发送消息，并完整记录每一条消息的发送状态。</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消息门户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个人消息中心：为用户提供统一的站内信收件箱，管理消息的已读/未读状态。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消息推送：支持在用户登录门户后，通过浏览器Web Push方式主动推送重要通知。</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统一地图服务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提供从数据生产到应用开发的全栈式地理信息服务能力。为白龙湖风景名胜区416.3平方公里规划范围内的景区全域构建一套完整的自定义地图服务体系，实现从实地数据采集到 Web 端交互展示的全流程支持。具体技术要求如下：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实地数据采集需通过无人机搭载高清摄像头、激光雷达（LiDAR）等传感器</w:t>
      </w:r>
      <w:r>
        <w:rPr>
          <w:rFonts w:hint="default" w:asciiTheme="minorAscii" w:hAnsiTheme="minorAscii" w:eastAsiaTheme="minorEastAsia" w:cstheme="minorEastAsia"/>
          <w:b/>
          <w:bCs/>
          <w:sz w:val="24"/>
          <w:szCs w:val="24"/>
          <w:lang w:val="en-US" w:eastAsia="zh-CN"/>
        </w:rPr>
        <w:t>对白龙湖风景名胜区全域进行三维测绘</w:t>
      </w:r>
      <w:r>
        <w:rPr>
          <w:rFonts w:hint="default" w:asciiTheme="minorAscii" w:hAnsiTheme="minorAscii" w:eastAsiaTheme="minorEastAsia" w:cstheme="minorEastAsia"/>
          <w:sz w:val="24"/>
          <w:szCs w:val="24"/>
          <w:lang w:val="en-US" w:eastAsia="zh-CN"/>
        </w:rPr>
        <w:t>，获取地面影像和其他地理空间数据。要求确保采集的图像清晰、细节可辨，且包含准确的位置信息（如经纬度关联），满足后续地图生成的精度要求；拍摄需覆盖湖泊水面、岸线及周边保护区域（包含2013年7月经国务院同意、国家住建部批复规划范围总面积416.3平方公里），避免遗漏。采集到的原始影像数据需要进行色彩校正、去畸变等预处理操作，以提高后续处理步骤的准确性和效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数据处理与地图生成将采集的原始图像</w:t>
      </w:r>
      <w:r>
        <w:rPr>
          <w:rFonts w:hint="default" w:asciiTheme="minorAscii" w:hAnsiTheme="minorAscii" w:eastAsiaTheme="minorEastAsia" w:cstheme="minorEastAsia"/>
          <w:b/>
          <w:bCs/>
          <w:sz w:val="24"/>
          <w:szCs w:val="24"/>
          <w:u w:val="wave"/>
          <w:lang w:val="en-US" w:eastAsia="zh-CN"/>
        </w:rPr>
        <w:t>处理为标准化的3D地图，支持不同缩放层级的展示（从整体全貌到局部细节），最高精度等级0.5米/像素</w:t>
      </w:r>
      <w:r>
        <w:rPr>
          <w:rFonts w:hint="default" w:asciiTheme="minorAscii" w:hAnsiTheme="minorAscii" w:eastAsiaTheme="minorEastAsia" w:cstheme="minorEastAsia"/>
          <w:sz w:val="24"/>
          <w:szCs w:val="24"/>
          <w:lang w:val="en-US" w:eastAsia="zh-CN"/>
        </w:rPr>
        <w:t>，确保地图拼接准确、无明显错位，且能匹配真实地理坐标，便于后续关联各类位置信息。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地图服务基于项目自建的、稳定的后台服务系统（详见应用支撑系统软件“统一地图”服务功能），Web 端通过网络访问并加载自建地图，确保多用户同时访问时加载流畅、响应及时；服务具备基础的扩展性，便于后续增加新的内容层。交互与信息叠加地图可在 Web 端展示时，叠加各类位置相关信息（如监测设备、关键点位等），并能根据设备实时传回的位置数据动态更新显示；同时提供基础交互功能（如缩放、点击查看详情），满足用户对湖泊区域地理信息及关联数据的直观查看。</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地图数据生产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正射影像图制作：基于无人机航拍影像，通过空三测量等处理，生成高精度、带地理坐标的正射影像图（DOM）。</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实景三维建模：利用倾斜摄影技术，自动生成高精度实景三维模型（3D Tiles），并支持在线浏览与量测。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数据质量校验：对生产的DOM和三维模型进行自动化质量检查，确保数据可用性。</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地图引擎服务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瓦片地图服务：将DOM和电子地图切割成瓦片，发布为高性能的WMTS/TMS服务。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三维地形服务：发布三维模型和地形数据为可在线加载的三维场景服务。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空间数据引擎：提供对矢量数据（点、线、面）的存储、空间索引和增删改查能力。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空间分析服务：提供通用的空间分析能力，如缓冲区分析、最短路径规划、可视域分析等。</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地图API与组件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地图前端组件：提供开箱即用的地图组件，内置常用控件，降低开发门槛。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地图JavaScript SDK：提供功能完整的JS API，支持自定义图层、绘制图形、轨迹回放等高级功能。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专题地图配置器：提供可视化工具，允许业务人员通过拖拽方式配置专题图样式，无需编码。</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运维与管理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服务状态监控：监控各地图服务的运行状态与资源消耗，异常时告警。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服务管理与发布：提供地图服务的启停、版本管理、权限控制和访问日志查看。</w:t>
      </w:r>
    </w:p>
    <w:p>
      <w:pPr>
        <w:pStyle w:val="7"/>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物联支撑系统</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物联支撑系统是整个风险源监测与环境应急平台的“设备中枢与数据桥梁”，致力于解决物联网应用中设备接入碎片化、数据价值挖掘难、业务联动复杂等核心挑战。它通过构建统一接入、智能处理、高效开放、安全可控的一站式物联网PaaS平台，为上层应用提供稳定、高效的设备管理、数据处理与服务开放能力，赋能业务快速创新。</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物联支撑系统基于海量连接与高并发、低延迟与高可靠、数据汇聚与洞察、安全可控、应用使能原则，分为四个核心层次，并贯穿统一的安全和管理体系。分层架构详解如下：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1）设备与网络层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这是物理世界与数字世界的连接点。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设备层：包含各种各样的传感器（采集数据）、执行器（执行指令）和智能设备。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网络层：负责数据传输。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短距通信：Wi-Fi、蓝牙、Zigbee。</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广域无线：</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蜂窝网络：4G/5G，高带宽、低延迟，适合车联网、视频监控。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LPWAN：NB-IoT、LoRa，低功耗、广覆盖，适合抄表、环境监测等低频场景。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网关层：至关重要的组件。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协议转换：将不同设备的各种工业协议（如Modbus, OPC-UA）或私有协议，转换成平台能识别的标准协议（如MQTT）。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数据聚合与边缘计算：在本地对设备数据进行初步过滤、聚合和处理，再上传云端，节省流量和计算资源。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2）连接与处理层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这是物联网平台的“神经系统”，负责与设备稳定通信。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核心组件：设备连接核心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通常基于高并发的 MQTT Broker（如EMQX, VerneMQ）集群构建，专门为海量设备的长连接设计。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同时支持HTTP、CoAP等其他协议适配，满足不同设备的接入需求。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关键功能：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设备认证与鉴权：确保只有合法设备可以接入（通常使用基于证书或Token的“一机一密”方案）。</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消息路由：将设备上报的数据路由到后端处理系统，将云端下发的指令路由到指定设备。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数据编解码：将设备上报的二进制或JSON格式数据，根据物模型解析成标准化的数据结构。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连接管理：管理设备的心跳、在线状态和离线消息。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3）平台服务层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这是物联网平台的“大脑”，提供核心的物联能力。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生命周期管理：设备的注册、激活、禁用、删除。</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设备影子：在云端为每个设备创建一个JSON文档，用于缓存设备状态。无论设备在线与否，应用都可以读写该影子，实现端云状态同步。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固件升级：支持对设备进行空中远程升级。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分组与标签：方便对海量设备进行批量管理和操作。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规则引擎：平台的“业务流程自动化”核心。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可以配置规则，如“当温度传感器数据 &gt; 40℃时，自动打开风扇并发送告警邮件”。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实现设备与设备、设备与应用的联动。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流式处理：对实时数据流进行即时分析。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数字孪生：</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在虚拟空间中构建一个与物理实体完全对应的数字模型。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它不仅反映设备的实时状态，还能包含设备的历史数据、运维记录等，用于仿真、预测和分析。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应用使能：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API网关：将平台的核心能力（如设备查询、指令下发、数据获取）封装成标准的RESTful API，供上层应用调用。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数据可视化：提供组件和工具，让用户能快速构建设备数据看板。</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4）业务应用层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基于物联支撑平台构建的各类垂直行业解决方案，如本项目的前端监测传感器、具有边缘计算能力的摄像机等。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5）垂直支撑体系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贯穿所有层面的保障体系。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安全体系：是物联网的生命线。包括设备安全（安全芯片）、连接安全（TLS/DTLS）、平台安全（认证、授权、审计）、数据安全。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运维监控体系：监控平台自身健康度（CPU、内存）、设备连接数、消息吞吐量、服务可用性等，确保平台稳定运行。</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标准与规范：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物模型：是核心概念。它定义了产品的属性、服务和事件，是设备与云端交互的数据契约。例如，一个发布终端的属性是开关状态，服务是切换开关，事件是故障上报。统一物模型是实现万物互联互懂的关键。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6）关键技术与组件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通信协议：MQTT 是因其轻量、低功耗、适合不稳定网络而成为物联网事实上的标准协议。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管理：设备影子机制是解决端/云异步通信和状态同步的经典模式。其作为在云端维护设备状态的虚拟模型，用于解决物联网中设备上下线频繁导致的状态不一致问题。其核心是一个JSON格式的持久化文档，存储设备期望状态（desired）、实际状态（reported）及元数据（metadata），实现应用端与设备端的异步通信。通过设备影子，即使设备离线，用户仍可通过云端更新期望状态，待设备上线后自动同步并执行，保障控制指令的最终一致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数据存储：时序数据库是针对物联网数据特点（时间序列、高写入、低复杂性查询）的必备选择。</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4310" cy="1683385"/>
            <wp:effectExtent l="0" t="0" r="13970" b="8255"/>
            <wp:docPr id="12" name="图片 12" descr="软件系统架构图-物联支撑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软件系统架构图-物联支撑系统"/>
                    <pic:cNvPicPr>
                      <a:picLocks noChangeAspect="1"/>
                    </pic:cNvPicPr>
                  </pic:nvPicPr>
                  <pic:blipFill>
                    <a:blip r:embed="rId52"/>
                    <a:stretch>
                      <a:fillRect/>
                    </a:stretch>
                  </pic:blipFill>
                  <pic:spPr>
                    <a:xfrm>
                      <a:off x="0" y="0"/>
                      <a:ext cx="5274310" cy="16833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图43 物联支撑系统功能结构图</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API创建与管理：设备数据的统一服务化</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将异构设备数据转化为标准、易用的API服务，实现数据的价值流通。</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网关接入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多协议设备接入网关：内置强大的协议适配能力，支持MQTT、CoAP、HTTP、Modbus及各类TCP定制协议，实现海量异构设备的统一接入与数据解析。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设备双向通信与认证：提供基于设备证书/PKI体系的安全认证机制，并建立稳定的云端指令下行通道，实现对设备的远程控制、配置与固件升级。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数据解析与标准化：提供可视化的脚本编辑器，将不同厂商、不同协议的原始设备数据，轻松转换为统一、规范的JSON数据模型，消除数据差异。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接入网关集群管理：支持接入网关的水平扩展与集群化部署，通过负载均衡实现高并发接入，确保服务的高可用性与弹性伸缩。</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接口运行状态监测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全链路监控与拓扑：实时监控从设备连接、数据上传、协议解析到API服务调用的全链路健康状况，并以拓扑图形式直观展示，便于快速定位故障。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智能基线告警：基于机器学习技术，对API性能指标进行学习并生成动态基线，当指标异常偏离时触发智能告警，实现预测性运维。</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性能容量预测：分析历史流量与性能趋势，主动预测系统未来的容量瓶颈，并为资源扩容提供数据建议。</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运行数据统计分析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多维度业务分析：支持按项目、设备类型、时间等多个维度，统计设备激活率、上下行消息量、API调用次数等核心运营指标。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自定义报表与看板：用户可通过拖拽方式自由组合维度和指标，快速构建个性化的数据报表与可视化数据大屏。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数据导出与API开放：支持分析结果的导出，同时将统计结果数据通过API方式对外开放，供其他业务系统集成使用。</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开发者支持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API全生命周期管理：提供从API设计、模拟（Mock）、测试、发布、版本管理到下线的全流程管理支持。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开发者门户：为第三方开发者提供完善的API文档、SDK、在线调试工具、应用管理及计费看板，降低集成门槛。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沙箱环境与自动化测试：提供与生产环境隔离的沙箱测试环境，并集成自动化测试工具，保障API质量。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用量与配额管理：实现对API调用的精细计费，并可为不同开发者或应用设置调用配额和速率限制，保障平台资源公平使用。</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规则引擎：数据驱动的智能联动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通过低代码方式，实现设备数据的实时处理与业务逻辑的自动触发。</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数据处理与联动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可视化规则编排：提供低代码/无代码的可视化界面，通过拖拽节点方式编排数据处理规则，支持数据过滤、字段富化、格式转换与实时计算。</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复杂事件处理：支持跨设备、跨时间窗口的复杂事件序列检测，可用于实现高级业务场景，如“设备A报警且10分钟内设备B未响应”。</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动作触发与联动：规则触发后，可灵活执行多种动作，如发送告警消息、调用业务API、向设备下发控制指令、记录处理日志等，实现业务闭环。</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规则模板市场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规则模板市场：预置丰富的常用规则模板（如数据转发、阈值告警、聚合计算），用户可一键复用并根据自身需求稍作修改，极大提升规则创建效率。</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安全管理：贯穿始终的安全防线</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构建从设备到云端，从访问到数据的全方位安全防护体系。</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安全防护</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全方位安全网关：集成DDoS防护与Web应用防火墙能力，对所有接入平台的API请求进行实时安全检测与清洗，抵御网络攻击。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细粒度访问策略：支持基于IP地址、用户身份、API端点、时间段等多个维度组合的精细访问控制策略，实现最小权限原则。</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敏感数据脱敏：对流经平台的敏感数据（如个人身份证号、位置信息）进行实时脱敏处理，确保数据隐私与合规性。</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安全审计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统一安全事件管理：集中收集并关联分析来自设备、网关、API等各层面的安全事件日志，生成全局安全态势报告，提升威胁感知能力。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合规性检查：内置等保3.0安全合规性检查模板，可定期自动扫描系统配置，并生成合规差距分析报告，辅助安全建设。</w:t>
      </w:r>
    </w:p>
    <w:p>
      <w:pPr>
        <w:pStyle w:val="5"/>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b/>
          <w:bCs/>
          <w:kern w:val="2"/>
          <w:sz w:val="24"/>
          <w:szCs w:val="24"/>
          <w:lang w:val="en-US" w:eastAsia="zh-CN" w:bidi="ar-SA"/>
        </w:rPr>
      </w:pPr>
      <w:r>
        <w:rPr>
          <w:rFonts w:hint="default" w:asciiTheme="minorAscii" w:hAnsiTheme="minorAscii" w:eastAsiaTheme="minorEastAsia" w:cstheme="minorEastAsia"/>
          <w:b/>
          <w:bCs/>
          <w:kern w:val="2"/>
          <w:sz w:val="24"/>
          <w:szCs w:val="24"/>
          <w:lang w:val="en-US" w:eastAsia="zh-CN" w:bidi="ar-SA"/>
        </w:rPr>
        <w:t>应用系统</w:t>
      </w:r>
    </w:p>
    <w:p>
      <w:pPr>
        <w:pStyle w:val="7"/>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数据可视化系统</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可视化系统旨在构建一款基于大数据技术的白龙湖“三水一体协同管控体系”风险源监测与环境应急平台（暨白龙湖监测、巡检、治理、管理和保护全量数据）的可视化系统，实现对“三水一体协同管控体系”运行所产生海量数据的快速处理和直观展示。通过运用先进的数据挖掘和分析算法，系统将能够为白龙湖风景名胜区各级管理单位工作者和决策者提供实时、准确的数据支持，从而提高白龙湖三水一体协同管控水平和政务服务质量、优化资源配置并推动白龙湖风景名胜区绿色发展。这款系统将有效解决海量松散数据聚合难题，为构建智慧管控体系提供有力支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系统以“一网统管”为核心目标，构建集数据总览、空间监测、预警处置、设备管控、人员联动于一体的智慧化指挥中枢。通过多维度数据融合、可视化呈现与智能分析，实现对“三水”协同管控全要素的实时监控、趋势研判、应急调度与协同处置，全面提升管理效率与决策智能化水平。</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一个健壮的数据可视化系统架构，本质上是将原始数据流逐层提炼、加工，最终转化为业务价值的过程。它不仅仅是前端图表的展示，更是一套融合了数据集成、处理、存储、服务和应用的复杂系统工程。成功的架构在于为正确的场景选择合适的技术组合，并在性能、灵活性、成本和复杂度之间找到最佳平衡点。本项目数据可视化系统采用分层式、模块化架构，旨在高效地处理海量、多源、异构的数据，并将其转化为直观、交互式的视觉图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u w:val="wave"/>
          <w:lang w:val="en-US" w:eastAsia="zh-CN"/>
        </w:rPr>
        <w:t>数据可视化系统的UI设计与代码开发，除依据国家相关标准和技术规范外，还须进一步遵循附件三：广元智慧城市《数字驾驶舱大屏版式设计规范》，支持广元城市大脑直接调用、自适应城市大脑大屏分辨率</w:t>
      </w:r>
      <w:r>
        <w:rPr>
          <w:rFonts w:hint="default" w:asciiTheme="minorAscii" w:hAnsiTheme="minorAscii" w:eastAsiaTheme="minorEastAsia" w:cstheme="minorEastAsia"/>
          <w:b/>
          <w:bCs/>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Ⅰ. 系统核心设计思想</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1）分层解耦：将系统划分为不同的层次，每层职责单一，便于开发、维护和扩展。</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2）可扩展性：每个组件都应支持水平扩展，以应对不断增长的数据量和用户并发。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3）高性能：通过批处理、流处理、缓存、预计算等多种技术手段，保证数据查询和渲染的实时性。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4）易用性：为最终用户（尤其是非技术人员）提供简单、直观的拖拽式操作界面。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Ⅱ. 系统详细架构分层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 数据源层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这是系统的基石，包含了所有需要被可视化的原始数据。数据源多种多样：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关系型数据库：OceanBase。</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应用程序数据：通过API接口获取的数据。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静态文件：CSV, Excel, JSON文件等。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 数据采集与集成层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负责从数据源层高效、可靠地抽取数据，并进行初步的清洗和转换。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批处理集成：用于定时同步大量历史数据。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流处理集成：用于实时捕获数据变更。</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数据同步与任务调度：用于管理和监控复杂的数据集成工作流。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3）数据处理与存储层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这是大数据处理的核心，负责对原始数据进行深度加工、计算和存储，为可视化提供高性能的查询服务。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计算引擎：</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流处理：处理实时数据，生成实时看板所需的指标。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交互式查询：提供亚秒级响应的即席查询能力。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数据存储：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数据仓库/数据湖：存储经过清洗和建模后的明细数据和聚合数据。例如，将数据分层为ODS（操作数据层）、DWD（明细数据层）、DWS（汇总数据层）和ADS（应用数据层）。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OLAP 数据库：这是可视化系统的关键。专门为快速、复杂的多维分析查询而设计。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预计算型：提前计算好所有维度和指标的组合，查询速度极快，但灵活性受限。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列式存储型：在数据和查询之间取得良好平衡，兼顾速度和灵活性，是目前最主流的选择。</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MPP架构型：提供标准SQL支持和强大的即席查询能力。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 数据服务与API层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作为前后端的桥梁，它将底层数据以统一、安全的API形式暴露给前端应用。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核心组件：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API 网关：统一入口，负责认证、鉴权、限流、日志和请求路由。</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查询引擎/OLAP 连接器：接收前端的查询请求，将其转换为底层OLAP数据库能够执行的SQL或查询语句。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元数据管理：管理数据源、数据表、指标、维度的定义信息，确保业务术语一致。</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缓存：使用Redis缓存频繁查询的结果，极大降低数据库压力，提升响应速度。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认证与授权：集成公司统一的SSO，并实现行级/列级的数据权限控制。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5） 数据应用层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这是用户直接交互的界面。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可视化前端：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技术栈：通常基于现代Web框架和可视化库构建。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功能：提供拖拽式报表设计器、Dashboard布局、图表联动、下钻分析、数据预警等。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产品形态：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固定报表：面向管理层的每日/每周运营报表。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交互式仪表盘：实时监控业务核心指标，支持多维度筛选和联动。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即席查询/Ad-hoc分析：允许数据分析师自由探索数据。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大屏展示：用于指挥中心，强调视觉冲击力和实时性。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Ⅲ 关键技术考量与选型建议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1）OLAP引擎是核心：</w:t>
      </w:r>
      <w:r>
        <w:rPr>
          <w:rFonts w:hint="default" w:asciiTheme="minorAscii" w:hAnsiTheme="minorAscii" w:eastAsiaTheme="minorEastAsia" w:cstheme="minorEastAsia"/>
          <w:sz w:val="24"/>
          <w:szCs w:val="24"/>
          <w:lang w:val="en-US" w:eastAsia="zh-CN"/>
        </w:rPr>
        <w:t>根据业务场景选择。</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高并发、简单查询。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复杂Ad-hoc查询。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2）实时性要求：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准实时（分钟级）。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真实时（秒级）。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3）数据权限：</w:t>
      </w:r>
      <w:r>
        <w:rPr>
          <w:rFonts w:hint="default" w:asciiTheme="minorAscii" w:hAnsiTheme="minorAscii" w:eastAsiaTheme="minorEastAsia" w:cstheme="minorEastAsia"/>
          <w:sz w:val="24"/>
          <w:szCs w:val="24"/>
          <w:lang w:val="en-US" w:eastAsia="zh-CN"/>
        </w:rPr>
        <w:t>必须在架构设计初期就考虑。在API层或SQL查询层通过“数据网关”或“查询代理”模式注入权限过滤条件。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4）自助式BI：</w:t>
      </w:r>
      <w:r>
        <w:rPr>
          <w:rFonts w:hint="default" w:asciiTheme="minorAscii" w:hAnsiTheme="minorAscii" w:eastAsiaTheme="minorEastAsia" w:cstheme="minorEastAsia"/>
          <w:sz w:val="24"/>
          <w:szCs w:val="24"/>
          <w:lang w:val="en-US" w:eastAsia="zh-CN"/>
        </w:rPr>
        <w:t>关键在于强大的语义层 或元数据管理，将复杂的底层表结构映射为业务用户能理解的“业务指标”（如水质等级）和“维度”（如时间、地区）。</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2405" cy="876300"/>
            <wp:effectExtent l="0" t="0" r="635" b="7620"/>
            <wp:docPr id="28" name="图片 28" descr="软件系统架构图-大数据可视化系统功能结构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软件系统架构图-大数据可视化系统功能结构1114"/>
                    <pic:cNvPicPr>
                      <a:picLocks noChangeAspect="1"/>
                    </pic:cNvPicPr>
                  </pic:nvPicPr>
                  <pic:blipFill>
                    <a:blip r:embed="rId53"/>
                    <a:stretch>
                      <a:fillRect/>
                    </a:stretch>
                  </pic:blipFill>
                  <pic:spPr>
                    <a:xfrm>
                      <a:off x="0" y="0"/>
                      <a:ext cx="5272405" cy="876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jc w:val="center"/>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图44 数据可视化系统功能结构图</w:t>
      </w:r>
    </w:p>
    <w:p>
      <w:pPr>
        <w:keepNext w:val="0"/>
        <w:keepLines w:val="0"/>
        <w:pageBreakBefore w:val="0"/>
        <w:widowControl w:val="0"/>
        <w:kinsoku/>
        <w:wordWrap/>
        <w:overflowPunct/>
        <w:topLinePunct w:val="0"/>
        <w:autoSpaceDE/>
        <w:autoSpaceDN/>
        <w:bidi w:val="0"/>
        <w:adjustRightInd w:val="0"/>
        <w:snapToGrid w:val="0"/>
        <w:spacing w:before="167" w:beforeLines="50"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数据可视化系统包括5个聚合展示功能模块、1个登录（入口）按钮和1个地图服务模块，5个聚合展示功能模块以标签页的形式分布在软件界面顶部</w:t>
      </w:r>
      <w:r>
        <w:rPr>
          <w:rFonts w:hint="default" w:asciiTheme="minorAscii" w:hAnsiTheme="minorAscii" w:eastAsiaTheme="minorEastAsia" w:cstheme="minorEastAsia"/>
          <w:sz w:val="24"/>
          <w:szCs w:val="24"/>
        </w:rPr>
        <w:t>标签栏</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默认首页为“一网统管”，支持在5个功能标签之间自由切换，5个功能标签依次为：</w:t>
      </w:r>
      <w:r>
        <w:rPr>
          <w:rFonts w:hint="default" w:asciiTheme="minorAscii" w:hAnsiTheme="minorAscii" w:eastAsiaTheme="minorEastAsia" w:cstheme="minorEastAsia"/>
          <w:sz w:val="24"/>
          <w:szCs w:val="24"/>
        </w:rPr>
        <w:t>一图治理·空间监测</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一屏调度·预警处置</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一网统管·数据总览</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融合通</w:t>
      </w:r>
      <w:r>
        <w:rPr>
          <w:rFonts w:hint="default" w:asciiTheme="minorAscii" w:hAnsiTheme="minorAscii" w:eastAsiaTheme="minorEastAsia" w:cstheme="minorEastAsia"/>
          <w:sz w:val="24"/>
          <w:szCs w:val="24"/>
          <w:lang w:val="en-US" w:eastAsia="zh-CN"/>
        </w:rPr>
        <w:t>信</w:t>
      </w:r>
      <w:r>
        <w:rPr>
          <w:rFonts w:hint="default" w:asciiTheme="minorAscii" w:hAnsiTheme="minorAscii" w:eastAsiaTheme="minorEastAsia" w:cstheme="minorEastAsia"/>
          <w:sz w:val="24"/>
          <w:szCs w:val="24"/>
        </w:rPr>
        <w:t>·人员联动</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设备</w:t>
      </w:r>
      <w:r>
        <w:rPr>
          <w:rFonts w:hint="default" w:asciiTheme="minorAscii" w:hAnsiTheme="minorAscii" w:eastAsiaTheme="minorEastAsia" w:cstheme="minorEastAsia"/>
          <w:sz w:val="24"/>
          <w:szCs w:val="24"/>
          <w:lang w:val="en-US" w:eastAsia="zh-CN"/>
        </w:rPr>
        <w:t>状态</w:t>
      </w:r>
      <w:r>
        <w:rPr>
          <w:rFonts w:hint="default" w:asciiTheme="minorAscii" w:hAnsiTheme="minorAscii" w:eastAsiaTheme="minorEastAsia" w:cstheme="minorEastAsia"/>
          <w:sz w:val="24"/>
          <w:szCs w:val="24"/>
        </w:rPr>
        <w:t>·远程管控</w:t>
      </w:r>
      <w:r>
        <w:rPr>
          <w:rFonts w:hint="default" w:asciiTheme="minorAscii" w:hAnsiTheme="minorAscii" w:eastAsiaTheme="minorEastAsia" w:cstheme="minorEastAsia"/>
          <w:sz w:val="24"/>
          <w:szCs w:val="24"/>
          <w:lang w:val="en-US" w:eastAsia="zh-CN"/>
        </w:rPr>
        <w:t>。其中，“融合门户”功能模块按“三水一体协同管控体系”风险源监测与环境应急平台系统架构层次列入应用支撑系统（软件）中开发，将其以登录（入口）按钮方式聚合于此，是为了方便用户快速使用、提高操作效率。地图服务的支撑系统“统一地图服务”列入应用支撑系统（软件）中开发，本系统地图服务是指调用高精度白龙湖风景名胜区3D地图。</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地图服务</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调用白龙湖风景名胜区416.3平方公里3D地图，精度等级为0.5米/像素。</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一网统管·数据总览</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作为系统的核心驾驶舱，此模块提供全局业务态势的宏观概览。</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1</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核心指标看板</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功能描述：动态展示6个最核心的业务指标（如未处理预警总数、在线设备率、整体水质达标率等），通过色标（如红、黄、绿）进行实时警示，使管理者一眼掌握关键运行状态。</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交互功能：支持点击“未处理预警”等关键卡片，直接弹出快速处理界面或跳转至处置列表，实现从概览到处置的快速穿透。</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分类数据详情区</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水质七参统计：以列表形式清晰展示pH值、溶解氧、氨氮等7项关键水质参数的全区均值，并直观显示各参数的超标点位数量。通过背景色条（绿色正常、红色超标）快速区分状态。</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水流量监测：展示关键断面的实时流量数据，并与昨日同期进行对比，以百分比和升降箭头直观呈现流量变化趋势。</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AI识别汇总：通过饼图可视化展示各类AI识别事件（如漂浮物、违规排污等）的占比分布。同时，列表滚动展示“近3小时高频事件”，帮助管理者快速聚焦近期高发问题。</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3</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趋势分析图表区</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水质指标趋势图：以折线图形式展示近7天关键水质指标的变化趋势，并在图中叠加国家标准阈值线，便于直观判断数据波动是否超出安全范围。</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水质与AI事件关联图：采用双Y轴图表，将水质参数曲线与AI识别事件数量曲线在近24小时内进行叠加对比，辅助分析水质异常与特定事件之间的潜在关联性。</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趋势钻取分析：支持点击趋势图上的特定日期，系统自动跳转至【智慧管理系统】的【统计分析】模块，并筛选出当日所有超标点位详情，实现从宏观趋势到微观问题的深度钻取。</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一图治理·空间监测</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基于GIS地图，实现所有管理要素在空间上的“一张图”管理。</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1</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图层筛选面板</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图层控制：用户可自由控制水质监测点、流量监测点、AI摄像头等不同图层的显示与隐藏。</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状态筛选：提供多维度筛选条件，如按“超标”、“正常”、“有AI事件”等状态快速过滤地图上的点位。</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快捷操作：提供“重置筛选”按钮恢复默认视图，以及“仅显示异常点位”按钮，一键聚焦所有问题设备。</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地图主展示区</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地图底图：加载高精度的自建水域专题地图，准确反映水域、岸线、关键设施等地理信息。</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点位可视化：根据筛选结果，动态在地图上绘制设备点位。通过颜色（红/绿）、大小（代表重要性）、动画（水流箭头表示流量方向）和闪烁效果（代表紧急预警）等多种方式，直观呈现点位的实时状态。</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地图工具：集成缩放、平移、全屏查看、距离测量等实用工具，方便用户进行空间分析。</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3</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点位详情面板</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信息展示：点击任一地图点位，动态弹出面板，详细展示该点位的设备基础信息、实时监测数据（各项参数值、流量）、最新的AI识别结果及现场抓拍截图。</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功能导航：面板内提供“查看历史数据”和“发起调度”按钮，点击后可分别跳转至该点位的深度数据查询页面或指挥调度流程发起页面。</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一屏调度·预警处置</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构建从预警感知到处置闭环的全流程管理功能。</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1）</w:t>
      </w:r>
      <w:r>
        <w:rPr>
          <w:rFonts w:hint="default" w:asciiTheme="minorAscii" w:hAnsiTheme="minorAscii" w:eastAsiaTheme="minorEastAsia" w:cstheme="minorEastAsia"/>
          <w:b/>
          <w:bCs/>
          <w:sz w:val="24"/>
          <w:szCs w:val="24"/>
        </w:rPr>
        <w:t>预警事件列表</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列表展示：以表格形式清晰列出所有预警事件，包含预警等级、类型、关联点位、触发时间、处置状态等关键字段。</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筛选排序：支持用户按预警等级、类型、处置状态进行快速筛选和排序，便于优先级排序和任务分派。</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2）</w:t>
      </w:r>
      <w:r>
        <w:rPr>
          <w:rFonts w:hint="default" w:asciiTheme="minorAscii" w:hAnsiTheme="minorAscii" w:eastAsiaTheme="minorEastAsia" w:cstheme="minorEastAsia"/>
          <w:b/>
          <w:bCs/>
          <w:sz w:val="24"/>
          <w:szCs w:val="24"/>
        </w:rPr>
        <w:t>预警详情分析</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数据溯源：选中任一预警，展示其触发的具体阈值、当前实时数据、近1小时的数据波动曲线，以及周边关联点位的对比数据。</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证据链支持：同时展示AI识别系统提供的辅助证据，如图片或短视频，为预警判断提供直观依据。</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空间关联分析：在地图上高亮显示预警点位，并联动展示其上下游关联点位，以及（在获得授权后）显示距离最近的运维人员实时位置，为调度决策提供空间支持。</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3</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处置流程与记录</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流程标准化：展示该类型预警的标准处置步骤（SOP），指导处置人员规范操作。</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记录可追溯：以只读模式展示该预警的历史处置记录，确保过程透明、责任清晰。</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处置入口：提供“前往处理”按钮，点击后直接打开或跳转至专业的业务处理系统，完成最终的处置操作，形成管理闭环。</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功能模块：融合通讯·人员联动</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打通信息与通讯壁垒，实现指挥调度的高效协同。</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1</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联系人列表</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组织架构展示：按运维组、技术组、管理组等组织结构分组展示所有相关人员名单。</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状态感知：清晰显示每个人的实时在线状态（在线、忙碌、离线）及其负责的区域，便于快速找到责任人。</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实时通讯窗口</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通讯集成：提供“发起通讯”按钮，可一键调用系统默认的通讯软件（如钉钉、企业微信）或打开集成的专业指挥通讯系统（如视频会议、对讲系统），实现音视频联动。</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3）</w:t>
      </w:r>
      <w:r>
        <w:rPr>
          <w:rFonts w:hint="default" w:asciiTheme="minorAscii" w:hAnsiTheme="minorAscii" w:eastAsiaTheme="minorEastAsia" w:cstheme="minorEastAsia"/>
          <w:b/>
          <w:bCs/>
          <w:sz w:val="24"/>
          <w:szCs w:val="24"/>
        </w:rPr>
        <w:t>历史记录</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记录归档：将所有与事件相关的通讯记录进行归档，按事件分组展示通讯时间、参与人员名单和通讯内容的关键摘要，便于事后复盘与审计。</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功能模块：设备状态·远程管控</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实现对前端物联设备的集中监控与远程干预能力。</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1）</w:t>
      </w:r>
      <w:r>
        <w:rPr>
          <w:rFonts w:hint="default" w:asciiTheme="minorAscii" w:hAnsiTheme="minorAscii" w:eastAsiaTheme="minorEastAsia" w:cstheme="minorEastAsia"/>
          <w:b/>
          <w:bCs/>
          <w:sz w:val="24"/>
          <w:szCs w:val="24"/>
        </w:rPr>
        <w:t>设备总列表</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分组管理：按设备类型（如水质监测仪、流量计、摄像头）进行分组，列表展示所有设备的编号、安装位置、在线/离线/异常状态、最新数据及上报时间。</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快速检索：支持通过设备编号、位置关键字进行搜索，并可按状态（如离线、异常）进行筛选，快速定位目标设备。</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设备详情页</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状态总览：以丰富的可视化形式（如仪表盘显示设备健康度、曲线图展示历史数据趋势、缩略图显示设备周边环境）展示单个设备的全面状态信息（只读模式）。</w:t>
      </w:r>
    </w:p>
    <w:p>
      <w:pPr>
        <w:keepNext w:val="0"/>
        <w:keepLines w:val="0"/>
        <w:pageBreakBefore w:val="0"/>
        <w:widowControl w:val="0"/>
        <w:kinsoku/>
        <w:wordWrap/>
        <w:overflowPunct/>
        <w:topLinePunct w:val="0"/>
        <w:autoSpaceDE/>
        <w:autoSpaceDN/>
        <w:bidi w:val="0"/>
        <w:adjustRightInd w:val="0"/>
        <w:snapToGrid/>
        <w:spacing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远程控制入口：对于支持远程操作的设备（如某些阀门、采样器），提供“远程控制”按钮，点击后将打开专业的设备远程控制台系统，进行参数设置或指令下发。</w:t>
      </w:r>
    </w:p>
    <w:p>
      <w:pPr>
        <w:pStyle w:val="8"/>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支撑与集成</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数据支撑：</w:t>
      </w:r>
      <w:r>
        <w:rPr>
          <w:rFonts w:hint="default" w:asciiTheme="minorAscii" w:hAnsiTheme="minorAscii" w:eastAsiaTheme="minorEastAsia" w:cstheme="minorEastAsia"/>
          <w:sz w:val="24"/>
          <w:szCs w:val="24"/>
          <w:lang w:val="en-US" w:eastAsia="zh-CN"/>
        </w:rPr>
        <w:t>系统通过调用各业务子系统（如智慧管理系统、应用支撑系统、AI支撑系统、物联支撑系统等）提供的标准化API接口，实现数据的统一采集、清洗、聚合与展示。</w:t>
      </w:r>
    </w:p>
    <w:p>
      <w:pPr>
        <w:keepNext w:val="0"/>
        <w:keepLines w:val="0"/>
        <w:pageBreakBefore w:val="0"/>
        <w:widowControl w:val="0"/>
        <w:kinsoku/>
        <w:wordWrap/>
        <w:overflowPunct/>
        <w:topLinePunct w:val="0"/>
        <w:autoSpaceDE/>
        <w:autoSpaceDN/>
        <w:bidi w:val="0"/>
        <w:adjustRightInd w:val="0"/>
        <w:snapToGrid/>
        <w:spacing w:line="300" w:lineRule="exact"/>
        <w:ind w:firstLine="481"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外部数据集成：</w:t>
      </w:r>
      <w:r>
        <w:rPr>
          <w:rFonts w:hint="default" w:asciiTheme="minorAscii" w:hAnsiTheme="minorAscii" w:eastAsiaTheme="minorEastAsia" w:cstheme="minorEastAsia"/>
          <w:sz w:val="24"/>
          <w:szCs w:val="24"/>
          <w:lang w:val="en-US" w:eastAsia="zh-CN"/>
        </w:rPr>
        <w:t>集成外部天气API，在大屏的适当位置（如地图角落或数据总览区）展示实时天气信息及未来预报，为环境数据分析与调度决策提供更全面的上下文信息。</w:t>
      </w:r>
    </w:p>
    <w:p>
      <w:pPr>
        <w:pStyle w:val="7"/>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多维协同系统</w:t>
      </w:r>
    </w:p>
    <w:p>
      <w:pPr>
        <w:pStyle w:val="8"/>
        <w:pageBreakBefore w:val="0"/>
        <w:widowControl w:val="0"/>
        <w:kinsoku/>
        <w:wordWrap/>
        <w:overflowPunct/>
        <w:topLinePunct w:val="0"/>
        <w:autoSpaceDE/>
        <w:autoSpaceDN/>
        <w:bidi w:val="0"/>
        <w:adjustRightInd w:val="0"/>
        <w:spacing w:line="300" w:lineRule="exact"/>
        <w:ind w:left="0" w:leftChars="0" w:firstLine="0" w:firstLineChars="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维协调系统是一款专门为白龙湖风景名胜区三水一体协同管控体系建设而设计的管理工具（软件），其核心在于整合沟通、治湖管湖护湖任务全周期管控、办公协同、个人办公和文档知识共享等多种功能，从而形成具有一定智慧的一体化工作平台。系统不仅有助于打破传统部门间的信息壁垒，更是能够有效提升团队协作效率，使相关职能单位之间、单位各部门之间能够实时共享信息和进展，推动三水一体协同管控体系的顺畅运行。</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维协同系统定位于组织的“智能运营中枢”与“协同作战平台”，旨在打破业务孤岛和数据壁垒。它通过构建统一的工作台、高效的协同管控机制、规范的协同办公流程、智能的决策支持体系以及可复用的知识库，实现任务、人员、数据、知识的全方位、全流程联动，最终提升组织的问题处置效率、资源利用率和整体协同效能。</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本项目中，多维协同系统的作用尤为关键，它通过统一的数据管理和流程监控，不仅帮助管理层实现决策透明化，同时也增强了相关公务人员之间的沟通与协作，加快协作进度，有效应对白龙湖风景名胜区管理局在实施三水一体协同管控体系过程中面临的各种挑战。</w:t>
      </w:r>
    </w:p>
    <w:p>
      <w:pPr>
        <w:pStyle w:val="8"/>
        <w:pageBreakBefore w:val="0"/>
        <w:widowControl w:val="0"/>
        <w:kinsoku/>
        <w:wordWrap/>
        <w:overflowPunct/>
        <w:topLinePunct w:val="0"/>
        <w:autoSpaceDE/>
        <w:autoSpaceDN/>
        <w:bidi w:val="0"/>
        <w:adjustRightInd w:val="0"/>
        <w:spacing w:line="300" w:lineRule="exact"/>
        <w:ind w:left="0" w:leftChars="0" w:firstLine="0" w:firstLineChars="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多维协同系统架构是一个在一致性、可用性和分区容错性（CAP）之间精巧权衡的工程实践。现代趋势正从复杂的 OT 转向更数学优雅的 CRDT。其核心架构围绕着实时通信、操作捕获、冲突解决算法和状态同步这几个关键环节展开，通过分层设计来应对高并发、低延迟和复杂业务逻辑的挑战。</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Ⅰ. 系统核心设计思想</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1）实时性：</w:t>
      </w:r>
      <w:r>
        <w:rPr>
          <w:rFonts w:hint="default" w:asciiTheme="minorAscii" w:hAnsiTheme="minorAscii" w:eastAsiaTheme="minorEastAsia" w:cstheme="minorEastAsia"/>
          <w:sz w:val="24"/>
          <w:szCs w:val="24"/>
          <w:lang w:val="en-US" w:eastAsia="zh-CN"/>
        </w:rPr>
        <w:t>将用户的操作快速同步给其他参与者。</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2）一致性：</w:t>
      </w:r>
      <w:r>
        <w:rPr>
          <w:rFonts w:hint="default" w:asciiTheme="minorAscii" w:hAnsiTheme="minorAscii" w:eastAsiaTheme="minorEastAsia" w:cstheme="minorEastAsia"/>
          <w:sz w:val="24"/>
          <w:szCs w:val="24"/>
          <w:lang w:val="en-US" w:eastAsia="zh-CN"/>
        </w:rPr>
        <w:t>当多个用户同时修改同一处内容时，须保证最终所有用户看到的结果是一致的（即解决冲突）。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3）离线支持：</w:t>
      </w:r>
      <w:r>
        <w:rPr>
          <w:rFonts w:hint="default" w:asciiTheme="minorAscii" w:hAnsiTheme="minorAscii" w:eastAsiaTheme="minorEastAsia" w:cstheme="minorEastAsia"/>
          <w:sz w:val="24"/>
          <w:szCs w:val="24"/>
          <w:lang w:val="en-US" w:eastAsia="zh-CN"/>
        </w:rPr>
        <w:t>用户在没有网络的情况下进行了修改，重新上线后可以与服务器和其他用户的修改进行同步。</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4）可扩展性：</w:t>
      </w:r>
      <w:r>
        <w:rPr>
          <w:rFonts w:hint="default" w:asciiTheme="minorAscii" w:hAnsiTheme="minorAscii" w:eastAsiaTheme="minorEastAsia" w:cstheme="minorEastAsia"/>
          <w:sz w:val="24"/>
          <w:szCs w:val="24"/>
          <w:lang w:val="en-US" w:eastAsia="zh-CN"/>
        </w:rPr>
        <w:t>支持多个用户同时在线协作。</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5）安全性与权限：</w:t>
      </w:r>
      <w:r>
        <w:rPr>
          <w:rFonts w:hint="default" w:asciiTheme="minorAscii" w:hAnsiTheme="minorAscii" w:eastAsiaTheme="minorEastAsia" w:cstheme="minorEastAsia"/>
          <w:sz w:val="24"/>
          <w:szCs w:val="24"/>
          <w:lang w:val="en-US" w:eastAsia="zh-CN"/>
        </w:rPr>
        <w:t>控制不同用户对文档的查看和编辑权限。</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Ⅱ. 系统关键技术概念</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在深入架构之前，必须理解以下三项关键技术：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1）操作转换</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核心思想：在操作被应用到本地文档之前，根据其他并发操作对其进行转换（调整），从而解决冲突。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举例：用户A在位置1插入字符“X”，用户B在位置1插入字符“Y”。如果没有OT，两个操作在服务器端按顺序执行后，结果可能是“YX”或“XY”，这取决于执行顺序。OT算法会将第二个操作的位置参数进行调整，确保最终结果是“XY”或“YX”，并且对所有客户端一致。</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2）冲突自由的数据类型</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核心思想：设计一种特殊的数据结构，使得任何操作都是可交换的、关联的和幂等的。这意味着，无论操作以何种顺序在不同副本上执行，最终状态都是一致的。</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优点：比OT更简单直观，天然支持高并发和离线操作。</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缺点：数据结构和传输可能带来额外开销。</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3）最终一致性</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协同系统通常不要求强一致性（那样会牺牲性能和可用性），而是采用最终一致性模型。即允许短时间内各用户的状态不一致，但保证在没有任何新的修改后，所有副本最终会收敛到相同的状态。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Ⅲ. 系统架构分层</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 表示层（前端）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职责：用户界面渲染、捕获用户输入、应用本地操作、处理来自服务器的实时更新。</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富</w:t>
      </w:r>
      <w:r>
        <w:rPr>
          <w:rFonts w:hint="default" w:asciiTheme="minorAscii" w:hAnsiTheme="minorAscii" w:eastAsiaTheme="minorEastAsia" w:cstheme="minorEastAsia"/>
          <w:spacing w:val="-6"/>
          <w:sz w:val="24"/>
          <w:szCs w:val="24"/>
          <w:lang w:val="en-US" w:eastAsia="zh-CN"/>
        </w:rPr>
        <w:t>文本编辑器：对于文档类应用，需要复杂的编辑器来处理文本格式、图片等。</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操作捕获与排队：将用户的每次击键、点击等转换为一个细粒度的操作（如 {type: "insert", pos: 5, char: "a"}），并放入一个队列。</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乐观UI：在操作发送到服务器确认之前，先在本地UI上生效，提供即时反馈。如果服务器返回冲突，再根据服务器确认的状态进行修正。</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 协同引擎层（核心）</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这是系统的大脑，可以在前端实现，也可以在服务端实现，或两者配合。</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职责：处理操作队列、解决冲突、维护文档状态。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工作模式：</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前端实现OT/CRDT：前端在发送操作前，先根据收到的其他操作对本地的待发操作进行转换（OT），或直接使用CRDT数据结构进行合并。</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后端实现OT/CRDT：前端将所有操作（及其上下文）发送到后端，由后端统一进行转换和排序，再将转换后的操作广播给所有客户端。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 通信层</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职责：在客户端和服务器之间建立低延迟、全双工的通信通道。</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WebSocket：这是实时协同系统的首选。它提供了持久化的全双工连接，非常适合高频、小数据量的操作同步。</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长轮询（Long-Polling）：在WebSocket不可用时的备选方案。</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 数据持久层 &amp; 后端服务</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职责：存储最终一致的文档数据、用户信息、操作日志等。</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数据库：</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关系型数据库（OceanBase）：适合存储结构化的元数据（用户、权限、文档列表）。</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文档数据库：适合以JSON形式存储整个文档的快照。</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OT/CRDT操作日志：通常需要单独存储一个操作历史日志，用于故障恢复、追溯和离线同步。</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后端服务：</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会话管理：管理用户的连接和房间（文档）。</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权限校验：在广播操作前，验证用户是否有权执行该操作。</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广播服务：将经过协同引擎处理后的操作，分发给同一文档/房间内的所有其他在线客户端。</w:t>
      </w:r>
    </w:p>
    <w:p>
      <w:pPr>
        <w:pStyle w:val="8"/>
        <w:pageBreakBefore w:val="0"/>
        <w:widowControl w:val="0"/>
        <w:kinsoku/>
        <w:wordWrap/>
        <w:overflowPunct/>
        <w:topLinePunct w:val="0"/>
        <w:autoSpaceDE/>
        <w:autoSpaceDN/>
        <w:bidi w:val="0"/>
        <w:adjustRightInd w:val="0"/>
        <w:spacing w:line="300" w:lineRule="exact"/>
        <w:ind w:left="0" w:leftChars="0" w:firstLine="0" w:firstLineChars="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4945" cy="2251710"/>
            <wp:effectExtent l="0" t="0" r="13335" b="3810"/>
            <wp:docPr id="68" name="图片 68" descr="软件系统架构图-多维协同系统2026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软件系统架构图-多维协同系统20260102"/>
                    <pic:cNvPicPr>
                      <a:picLocks noChangeAspect="1"/>
                    </pic:cNvPicPr>
                  </pic:nvPicPr>
                  <pic:blipFill>
                    <a:blip r:embed="rId54"/>
                    <a:stretch>
                      <a:fillRect/>
                    </a:stretch>
                  </pic:blipFill>
                  <pic:spPr>
                    <a:xfrm>
                      <a:off x="0" y="0"/>
                      <a:ext cx="5274945" cy="2251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图45 多维协同系统功能结构图</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智能工作台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“智能工作台”作为每位用户的个性化数字工作桌面，提供一站式的信息获取与业务处理入口。</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1）个人桌面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①个性化仪表盘：</w:t>
      </w:r>
      <w:r>
        <w:rPr>
          <w:rFonts w:hint="default" w:asciiTheme="minorAscii" w:hAnsiTheme="minorAscii" w:eastAsiaTheme="minorEastAsia" w:cstheme="minorEastAsia"/>
          <w:sz w:val="24"/>
          <w:szCs w:val="24"/>
          <w:lang w:val="en-US" w:eastAsia="zh-CN"/>
        </w:rPr>
        <w:t>用户可根据自身角色和习惯，自由拖拽、配置和布局各类数据组件（如任务统计、预警信息、业务图表），实现“千岗千面”的个性化视图。</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②智能日程：</w:t>
      </w:r>
      <w:r>
        <w:rPr>
          <w:rFonts w:hint="default" w:asciiTheme="minorAscii" w:hAnsiTheme="minorAscii" w:eastAsiaTheme="minorEastAsia" w:cstheme="minorEastAsia"/>
          <w:sz w:val="24"/>
          <w:szCs w:val="24"/>
          <w:lang w:val="en-US" w:eastAsia="zh-CN"/>
        </w:rPr>
        <w:t>系统自动整合来自任务、会议等模块的日程信息，生成统一的个人日程表，支持日、周、月视图切换，避免日程冲突。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③实时天气插件：</w:t>
      </w:r>
      <w:r>
        <w:rPr>
          <w:rFonts w:hint="default" w:asciiTheme="minorAscii" w:hAnsiTheme="minorAscii" w:eastAsiaTheme="minorEastAsia" w:cstheme="minorEastAsia"/>
          <w:sz w:val="24"/>
          <w:szCs w:val="24"/>
          <w:lang w:val="en-US" w:eastAsia="zh-CN"/>
        </w:rPr>
        <w:t>实时显示用户当前位置的天气情况及未来预报，遇恶劣天气（如暴雨、大风）时主动推送预警信息，为外勤作业与调度决策提供参考。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2）消息中心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①统一通知中心：</w:t>
      </w:r>
      <w:r>
        <w:rPr>
          <w:rFonts w:hint="default" w:asciiTheme="minorAscii" w:hAnsiTheme="minorAscii" w:eastAsiaTheme="minorEastAsia" w:cstheme="minorEastAsia"/>
          <w:sz w:val="24"/>
          <w:szCs w:val="24"/>
          <w:lang w:val="en-US" w:eastAsia="zh-CN"/>
        </w:rPr>
        <w:t>作为所有信息的集散地，聚合来自全系统的各类消息，包括系统通知、任务提醒、流程待办、预警告警等，并按消息类别与优先级进行智能分类和展示。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②即时通讯：</w:t>
      </w:r>
      <w:r>
        <w:rPr>
          <w:rFonts w:hint="default" w:asciiTheme="minorAscii" w:hAnsiTheme="minorAscii" w:eastAsiaTheme="minorEastAsia" w:cstheme="minorEastAsia"/>
          <w:sz w:val="24"/>
          <w:szCs w:val="24"/>
          <w:lang w:val="en-US" w:eastAsia="zh-CN"/>
        </w:rPr>
        <w:t>集成内置的通讯工具，支持用户之间进行一对一单聊或建立群组讨论，可便捷地发送文字、图片、文件等内容，实现业务场景内的无缝沟通。</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3）快捷入口</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①自定义快捷方式：</w:t>
      </w:r>
      <w:r>
        <w:rPr>
          <w:rFonts w:hint="default" w:asciiTheme="minorAscii" w:hAnsiTheme="minorAscii" w:eastAsiaTheme="minorEastAsia" w:cstheme="minorEastAsia"/>
          <w:sz w:val="24"/>
          <w:szCs w:val="24"/>
          <w:lang w:val="en-US" w:eastAsia="zh-CN"/>
        </w:rPr>
        <w:t>用户可将自己最常用的功能页面、文档链接或外部网址固定到工作台醒目位置，实现一键直达，提升操作效率。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②待办清单：</w:t>
      </w:r>
      <w:r>
        <w:rPr>
          <w:rFonts w:hint="default" w:asciiTheme="minorAscii" w:hAnsiTheme="minorAscii" w:eastAsiaTheme="minorEastAsia" w:cstheme="minorEastAsia"/>
          <w:sz w:val="24"/>
          <w:szCs w:val="24"/>
          <w:lang w:val="en-US" w:eastAsia="zh-CN"/>
        </w:rPr>
        <w:t>自动汇聚来自所有子系统和业务流程的个人待办事项，并以统一清单形式呈现，支持用户在此进行集中处理与反馈，避免任务遗漏。</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协同管控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聚焦于问题的发现、分配、处置与闭环管理，实现跨部门任务的精准协同。</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协同管控-问题排查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1）多源告警接入：</w:t>
      </w:r>
      <w:r>
        <w:rPr>
          <w:rFonts w:hint="default" w:asciiTheme="minorAscii" w:hAnsiTheme="minorAscii" w:eastAsiaTheme="minorEastAsia" w:cstheme="minorEastAsia"/>
          <w:sz w:val="24"/>
          <w:szCs w:val="24"/>
          <w:lang w:val="en-US" w:eastAsia="zh-CN"/>
        </w:rPr>
        <w:t>建立统一的问题接入门户，能够整合来自物联网设备的自动告警、上级系统的指令、电话举报等渠道的群众举报工单，以及内部自查上报的问题。</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2）智能分诊与分类：</w:t>
      </w:r>
      <w:r>
        <w:rPr>
          <w:rFonts w:hint="default" w:asciiTheme="minorAscii" w:hAnsiTheme="minorAscii" w:eastAsiaTheme="minorEastAsia" w:cstheme="minorEastAsia"/>
          <w:sz w:val="24"/>
          <w:szCs w:val="24"/>
          <w:lang w:val="en-US" w:eastAsia="zh-CN"/>
        </w:rPr>
        <w:t>利用规则引擎，根据问题的类型、发生地点、紧急程度等信息进行自动预分类，并初步推荐或指派给相应的责任部门。系统支持任务退回机制，若部门认定不属其管辖，可退回并由管理员重新分配，确保权责清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3）问题详情页：</w:t>
      </w:r>
      <w:r>
        <w:rPr>
          <w:rFonts w:hint="default" w:asciiTheme="minorAscii" w:hAnsiTheme="minorAscii" w:eastAsiaTheme="minorEastAsia" w:cstheme="minorEastAsia"/>
          <w:sz w:val="24"/>
          <w:szCs w:val="24"/>
          <w:lang w:val="en-US" w:eastAsia="zh-CN"/>
        </w:rPr>
        <w:t>为每个问题建立全景视图，集中展示其全部信息，包括问题来源、详细描述、关联的设备数据、历史处置记录以及系统预估的影响范围，为决策提供充分依据。</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协同管控-任务管理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任务创建与派发：</w:t>
      </w:r>
      <w:r>
        <w:rPr>
          <w:rFonts w:hint="default" w:asciiTheme="minorAscii" w:hAnsiTheme="minorAscii" w:eastAsiaTheme="minorEastAsia" w:cstheme="minorEastAsia"/>
          <w:sz w:val="24"/>
          <w:szCs w:val="24"/>
          <w:lang w:val="en-US" w:eastAsia="zh-CN"/>
        </w:rPr>
        <w:t>可基于已确认的问题快速创建处置任务。系统能根据任务类型、位置、执行人职责和当前承办工作任务的情形，通过智能调度算法推荐最合适的执行人，负责人可在此基础上进行手动微调。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任务模板库：</w:t>
      </w:r>
      <w:r>
        <w:rPr>
          <w:rFonts w:hint="default" w:asciiTheme="minorAscii" w:hAnsiTheme="minorAscii" w:eastAsiaTheme="minorEastAsia" w:cstheme="minorEastAsia"/>
          <w:sz w:val="24"/>
          <w:szCs w:val="24"/>
          <w:lang w:val="en-US" w:eastAsia="zh-CN"/>
        </w:rPr>
        <w:t>针对常见、高频的问题类型，预置标准化的任务处理模板，明确处理步骤、规范和要求，确保处置过程的标准化与规范化。</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协同管控-任务调度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资源状态看板：</w:t>
      </w:r>
      <w:r>
        <w:rPr>
          <w:rFonts w:hint="default" w:asciiTheme="minorAscii" w:hAnsiTheme="minorAscii" w:eastAsiaTheme="minorEastAsia" w:cstheme="minorEastAsia"/>
          <w:sz w:val="24"/>
          <w:szCs w:val="24"/>
          <w:lang w:val="en-US" w:eastAsia="zh-CN"/>
        </w:rPr>
        <w:t>为调度员提供可视化的资源视图，实时展示各团队、人员的当前任务负载（如进行中任务数、已完成数），为人工进行任务分派与均衡提供科学依据。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调度指令下发：</w:t>
      </w:r>
      <w:r>
        <w:rPr>
          <w:rFonts w:hint="default" w:asciiTheme="minorAscii" w:hAnsiTheme="minorAscii" w:eastAsiaTheme="minorEastAsia" w:cstheme="minorEastAsia"/>
          <w:sz w:val="24"/>
          <w:szCs w:val="24"/>
          <w:lang w:val="en-US" w:eastAsia="zh-CN"/>
        </w:rPr>
        <w:t>任务确认后，系统可向执行人员的移动端精准推送任务详情、最优导航路线、安全操作规范等关键信息。</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协同管控-执行任务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接收与处置：</w:t>
      </w:r>
      <w:r>
        <w:rPr>
          <w:rFonts w:hint="default" w:asciiTheme="minorAscii" w:hAnsiTheme="minorAscii" w:eastAsiaTheme="minorEastAsia" w:cstheme="minorEastAsia"/>
          <w:sz w:val="24"/>
          <w:szCs w:val="24"/>
          <w:lang w:val="en-US" w:eastAsia="zh-CN"/>
        </w:rPr>
        <w:t>执行人员在移动端接收任务，并可实时上报文字进度，上传现场照片、视频等作为处置证据。关键步骤（如任务完成确认）支持电子签名，确保过程真实、责任可溯。</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协同管控-任务完成情况评价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处理结果上报与审核：</w:t>
      </w:r>
      <w:r>
        <w:rPr>
          <w:rFonts w:hint="default" w:asciiTheme="minorAscii" w:hAnsiTheme="minorAscii" w:eastAsiaTheme="minorEastAsia" w:cstheme="minorEastAsia"/>
          <w:sz w:val="24"/>
          <w:szCs w:val="24"/>
          <w:lang w:val="en-US" w:eastAsia="zh-CN"/>
        </w:rPr>
        <w:t>执行人线上提交包含文字、图片等证据的任务完成报告，管理者在线进行审核。审核通过则任务闭环；不通过则可打回并注明原因，要求重新处置。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自动归档至知识库：</w:t>
      </w:r>
      <w:r>
        <w:rPr>
          <w:rFonts w:hint="default" w:asciiTheme="minorAscii" w:hAnsiTheme="minorAscii" w:eastAsiaTheme="minorEastAsia" w:cstheme="minorEastAsia"/>
          <w:sz w:val="24"/>
          <w:szCs w:val="24"/>
          <w:lang w:val="en-US" w:eastAsia="zh-CN"/>
        </w:rPr>
        <w:t>审核通过后，系统自动将任务的关键处理过程、解决方案与结果，以结构化的方式归档到知识库，转化为组织的过程资产。</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协同管控-全周期跟踪</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任务流程可视化：</w:t>
      </w:r>
      <w:r>
        <w:rPr>
          <w:rFonts w:hint="default" w:asciiTheme="minorAscii" w:hAnsiTheme="minorAscii" w:eastAsiaTheme="minorEastAsia" w:cstheme="minorEastAsia"/>
          <w:sz w:val="24"/>
          <w:szCs w:val="24"/>
          <w:lang w:val="en-US" w:eastAsia="zh-CN"/>
        </w:rPr>
        <w:t>以流程图或时间轴的形式，实时、直观地展示每一个任务从创建、派发、执行、审核到关闭的全过程及当前所处环节。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超时与预警提醒：</w:t>
      </w:r>
      <w:r>
        <w:rPr>
          <w:rFonts w:hint="default" w:asciiTheme="minorAscii" w:hAnsiTheme="minorAscii" w:eastAsiaTheme="minorEastAsia" w:cstheme="minorEastAsia"/>
          <w:sz w:val="24"/>
          <w:szCs w:val="24"/>
          <w:lang w:val="en-US" w:eastAsia="zh-CN"/>
        </w:rPr>
        <w:t>系统自动监控任务时限，对临近截止时间或已超时的任务，自动向执行人及其管理者推送多层级预警提醒，督促任务按时完成。</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综合管理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实现日程和资产等管理的数字化、标准化与高效化。</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综合管理-日程管理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团队日程：可创建并分享团队日程，方便在移动端协调会议和资源，提升团队协作透明度。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日程提醒：支持应用内消息推送、短信等多种方式的移动端日程提醒。</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综合管理-资产管理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固定资产全生命周期管理：</w:t>
      </w:r>
      <w:r>
        <w:rPr>
          <w:rFonts w:hint="default" w:asciiTheme="minorAscii" w:hAnsiTheme="minorAscii" w:eastAsiaTheme="minorEastAsia" w:cstheme="minorEastAsia"/>
          <w:sz w:val="24"/>
          <w:szCs w:val="24"/>
          <w:lang w:val="en-US" w:eastAsia="zh-CN"/>
        </w:rPr>
        <w:t>通过线上流程，覆盖资产从申购、入库、领用、调拨、维修、盘点到报废的全部环节，实现资产的可视化与精细化管理。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易耗品库存管理：</w:t>
      </w:r>
      <w:r>
        <w:rPr>
          <w:rFonts w:hint="default" w:asciiTheme="minorAscii" w:hAnsiTheme="minorAscii" w:eastAsiaTheme="minorEastAsia" w:cstheme="minorEastAsia"/>
          <w:sz w:val="24"/>
          <w:szCs w:val="24"/>
          <w:lang w:val="en-US" w:eastAsia="zh-CN"/>
        </w:rPr>
        <w:t>管理办公易耗品的采购入库、申领出库，实现库存量的实时更新、低库存预警和消耗统计。</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智能辅助决策</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过数据驱动，为管理决策提供科学支撑。结合机器学习/深度学习、自然语言处理、知识图谱、规则引擎、优化算法和数据可视化等技术，通过聚合与治理、建模与洞察，实现主动提醒与预警，智能建议与推荐，以及一些规则明确、低风险的决策授权系统自动执行。提供以下常用功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多维数据看板：</w:t>
      </w:r>
      <w:r>
        <w:rPr>
          <w:rFonts w:hint="default" w:asciiTheme="minorAscii" w:hAnsiTheme="minorAscii" w:eastAsiaTheme="minorEastAsia" w:cstheme="minorEastAsia"/>
          <w:sz w:val="24"/>
          <w:szCs w:val="24"/>
          <w:lang w:val="en-US" w:eastAsia="zh-CN"/>
        </w:rPr>
        <w:t>整合协同管控与办公数据，构建可交互的统计分析仪表盘，直观展示任务完成率、平均响应时长、问题分类统计、部门绩效等核心指标。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自定义报表：</w:t>
      </w:r>
      <w:r>
        <w:rPr>
          <w:rFonts w:hint="default" w:asciiTheme="minorAscii" w:hAnsiTheme="minorAscii" w:eastAsiaTheme="minorEastAsia" w:cstheme="minorEastAsia"/>
          <w:sz w:val="24"/>
          <w:szCs w:val="24"/>
          <w:lang w:val="en-US" w:eastAsia="zh-CN"/>
        </w:rPr>
        <w:t>赋予用户一定的自主性，允许其自由选择统计维度和指标，生成满足个性化需求的统计分析报表。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一键报告生成：</w:t>
      </w:r>
      <w:r>
        <w:rPr>
          <w:rFonts w:hint="default" w:asciiTheme="minorAscii" w:hAnsiTheme="minorAscii" w:eastAsiaTheme="minorEastAsia" w:cstheme="minorEastAsia"/>
          <w:sz w:val="24"/>
          <w:szCs w:val="24"/>
          <w:lang w:val="en-US" w:eastAsia="zh-CN"/>
        </w:rPr>
        <w:t>用户选定统计条件和预设模板后，系统可自动生成Word或PDF格式的统计分析报告，大幅提升报告编制效率。</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文档知识库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构建组织的“智慧大脑”，实现知识的沉淀、管理与复用。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1）知识管理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多类型知识存储：</w:t>
      </w:r>
      <w:r>
        <w:rPr>
          <w:rFonts w:hint="default" w:asciiTheme="minorAscii" w:hAnsiTheme="minorAscii" w:eastAsiaTheme="minorEastAsia" w:cstheme="minorEastAsia"/>
          <w:sz w:val="24"/>
          <w:szCs w:val="24"/>
          <w:lang w:val="en-US" w:eastAsia="zh-CN"/>
        </w:rPr>
        <w:t>支持存储文档、图片、视频、标准作业程序（SOP）、典型案例等多种格式的知识内容。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智能分类与标签：</w:t>
      </w:r>
      <w:r>
        <w:rPr>
          <w:rFonts w:hint="default" w:asciiTheme="minorAscii" w:hAnsiTheme="minorAscii" w:eastAsiaTheme="minorEastAsia" w:cstheme="minorEastAsia"/>
          <w:sz w:val="24"/>
          <w:szCs w:val="24"/>
          <w:lang w:val="en-US" w:eastAsia="zh-CN"/>
        </w:rPr>
        <w:t>支持通过自动分类和手动打标相结合的方式，对知识进行体系化整理，便于管理。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全文检索与知识图谱：</w:t>
      </w:r>
      <w:r>
        <w:rPr>
          <w:rFonts w:hint="default" w:asciiTheme="minorAscii" w:hAnsiTheme="minorAscii" w:eastAsiaTheme="minorEastAsia" w:cstheme="minorEastAsia"/>
          <w:sz w:val="24"/>
          <w:szCs w:val="24"/>
          <w:lang w:val="en-US" w:eastAsia="zh-CN"/>
        </w:rPr>
        <w:t>提供强大的关键词全文检索功能，并利用知识图谱技术，智能关联和推荐相关知识条目，形成知识网络。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权限管理与版本控制：</w:t>
      </w:r>
      <w:r>
        <w:rPr>
          <w:rFonts w:hint="default" w:asciiTheme="minorAscii" w:hAnsiTheme="minorAscii" w:eastAsiaTheme="minorEastAsia" w:cstheme="minorEastAsia"/>
          <w:sz w:val="24"/>
          <w:szCs w:val="24"/>
          <w:lang w:val="en-US" w:eastAsia="zh-CN"/>
        </w:rPr>
        <w:t>实施精细化的文档读写权限控制，确保知识安全。同时保留文档的历史版本，便于追溯和恢复。</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2）知识应用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智能推荐：</w:t>
      </w:r>
      <w:r>
        <w:rPr>
          <w:rFonts w:hint="default" w:asciiTheme="minorAscii" w:hAnsiTheme="minorAscii" w:eastAsiaTheme="minorEastAsia" w:cstheme="minorEastAsia"/>
          <w:sz w:val="24"/>
          <w:szCs w:val="24"/>
          <w:lang w:val="en-US" w:eastAsia="zh-CN"/>
        </w:rPr>
        <w:t>在用户处理具体任务时，系统能主动、智能地推荐知识库中相关的解决方案、SOP或历史典型案例，赋能一线人员，提升问题处置质量。</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支撑与集成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作为系统的技术基石，确保系统的开放性、安全性与集成能力，需要下列四大功能提供支撑：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统一用户管理(UM)：</w:t>
      </w:r>
      <w:r>
        <w:rPr>
          <w:rFonts w:hint="default" w:asciiTheme="minorAscii" w:hAnsiTheme="minorAscii" w:eastAsiaTheme="minorEastAsia" w:cstheme="minorEastAsia"/>
          <w:sz w:val="24"/>
          <w:szCs w:val="24"/>
          <w:lang w:val="en-US" w:eastAsia="zh-CN"/>
        </w:rPr>
        <w:t>对接组织现有架构，实现所有子系统的单点登录(SSO)和统一的身份认证与权限管理。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统一数据交换平台：</w:t>
      </w:r>
      <w:r>
        <w:rPr>
          <w:rFonts w:hint="default" w:asciiTheme="minorAscii" w:hAnsiTheme="minorAscii" w:eastAsiaTheme="minorEastAsia" w:cstheme="minorEastAsia"/>
          <w:sz w:val="24"/>
          <w:szCs w:val="24"/>
          <w:lang w:val="en-US" w:eastAsia="zh-CN"/>
        </w:rPr>
        <w:t>提供标准、开放的API接口，实现与智慧管理系统、IOT物联网平台、大屏可视化系统、外部天气服务等内外部系统的数据双向交换与集成。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消息推送服务：</w:t>
      </w:r>
      <w:r>
        <w:rPr>
          <w:rFonts w:hint="default" w:asciiTheme="minorAscii" w:hAnsiTheme="minorAscii" w:eastAsiaTheme="minorEastAsia" w:cstheme="minorEastAsia"/>
          <w:sz w:val="24"/>
          <w:szCs w:val="24"/>
          <w:lang w:val="en-US" w:eastAsia="zh-CN"/>
        </w:rPr>
        <w:t>整合短信、邮件、应用内信等多种消息通道，为系统各类通知、提醒提供稳定、多样的送达保障。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日志与审计：</w:t>
      </w:r>
      <w:r>
        <w:rPr>
          <w:rFonts w:hint="default" w:asciiTheme="minorAscii" w:hAnsiTheme="minorAscii" w:eastAsiaTheme="minorEastAsia" w:cstheme="minorEastAsia"/>
          <w:sz w:val="24"/>
          <w:szCs w:val="24"/>
          <w:lang w:val="en-US" w:eastAsia="zh-CN"/>
        </w:rPr>
        <w:t>全面记录用户的关键操作日志，形成完整的审计追踪链条，满足安全合规与内部审计要求。</w:t>
      </w:r>
    </w:p>
    <w:p>
      <w:pPr>
        <w:pStyle w:val="7"/>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指挥调度系统</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指挥调度系统（软件）作为集成通信、信息处理、地理信息和决策支持的综合性软件系统，是白龙湖风景名胜区“三水一体”协同管控体系的“智慧大脑”，让管理者能够“看得见、听得着、调得动”所有前线单元。系统具备一体化集成、可视化指挥、智能化决策、高效协同等特征，具有良好的灵活性和可扩展性，集融合通讯、可视调度、智能决策与一体呈现于一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指挥调度系统（软件）对白龙湖风景名胜区各级管理部门管辖的各种资源（人、车、物、信息）进行统一管理、动态监控、智能派遣和协同指挥，以提高应急响应速度、优化资源利用效率、保障作业安全。它通过整合语音、视频、GIS、广播等多种手段，实现对人员、车辆、物资等资源的统一、精准、高效调度，确保在常态管理与应急事件中指令畅通、反应迅速、处置有力。</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指挥调度系统采用微服务架构，以实现高可用、高并发、易扩展和快速迭代的目标。其整体架构可以划分为六个层次，并辅以统一的安全和管理体系。指挥调度系统核心架构的六个层次分别是：①表现层-②网关层-③应用层-④服务层-⑤数据持久层-⑥基础设施层，其中：基础设施层是系统运行的物理和虚拟基础，包括计算资源、网络资源和通信基础设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Ⅰ. 数据持久层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负责所有数据的存储、访问和管理。采用“多模数据持久化”策略，即根据不同类型的数据选用最合适的数据库。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关系型数据库（</w:t>
      </w:r>
      <w:r>
        <w:rPr>
          <w:rFonts w:hint="default" w:asciiTheme="minorAscii" w:hAnsiTheme="minorAscii" w:eastAsiaTheme="minorEastAsia" w:cstheme="minorEastAsia"/>
          <w:sz w:val="24"/>
          <w:szCs w:val="24"/>
          <w:lang w:val="en-US" w:eastAsia="zh-CN"/>
        </w:rPr>
        <w:t>OceanBase</w:t>
      </w:r>
      <w:r>
        <w:rPr>
          <w:rFonts w:hint="default" w:asciiTheme="minorAscii" w:hAnsiTheme="minorAscii" w:eastAsiaTheme="minorEastAsia" w:cstheme="minorEastAsia"/>
          <w:b/>
          <w:bCs/>
          <w:sz w:val="24"/>
          <w:szCs w:val="24"/>
          <w:lang w:val="en-US" w:eastAsia="zh-CN"/>
        </w:rPr>
        <w:t>）：</w:t>
      </w:r>
      <w:r>
        <w:rPr>
          <w:rFonts w:hint="default" w:asciiTheme="minorAscii" w:hAnsiTheme="minorAscii" w:eastAsiaTheme="minorEastAsia" w:cstheme="minorEastAsia"/>
          <w:sz w:val="24"/>
          <w:szCs w:val="24"/>
          <w:lang w:val="en-US" w:eastAsia="zh-CN"/>
        </w:rPr>
        <w:t>用于存储核心业务数据，如用户信息、组织架构、任务订单、资源档案等。保证事务的ACID特性。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缓存数据库（</w:t>
      </w:r>
      <w:r>
        <w:rPr>
          <w:rFonts w:hint="default" w:asciiTheme="minorAscii" w:hAnsiTheme="minorAscii" w:eastAsiaTheme="minorEastAsia" w:cstheme="minorEastAsia"/>
          <w:sz w:val="24"/>
          <w:szCs w:val="24"/>
          <w:lang w:val="en-US" w:eastAsia="zh-CN"/>
        </w:rPr>
        <w:t>Redis</w:t>
      </w:r>
      <w:r>
        <w:rPr>
          <w:rFonts w:hint="default" w:asciiTheme="minorAscii" w:hAnsiTheme="minorAscii" w:eastAsiaTheme="minorEastAsia" w:cstheme="minorEastAsia"/>
          <w:b/>
          <w:bCs/>
          <w:sz w:val="24"/>
          <w:szCs w:val="24"/>
          <w:lang w:val="en-US" w:eastAsia="zh-CN"/>
        </w:rPr>
        <w:t>）：</w:t>
      </w:r>
      <w:r>
        <w:rPr>
          <w:rFonts w:hint="default" w:asciiTheme="minorAscii" w:hAnsiTheme="minorAscii" w:eastAsiaTheme="minorEastAsia" w:cstheme="minorEastAsia"/>
          <w:sz w:val="24"/>
          <w:szCs w:val="24"/>
          <w:lang w:val="en-US" w:eastAsia="zh-CN"/>
        </w:rPr>
        <w:t>作为高速缓存，存储会话信息、热点数据、实时状态等，大幅提升系统响应速度。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地理空间数据库（</w:t>
      </w:r>
      <w:r>
        <w:rPr>
          <w:rFonts w:hint="default" w:asciiTheme="minorAscii" w:hAnsiTheme="minorAscii" w:eastAsiaTheme="minorEastAsia" w:cstheme="minorEastAsia"/>
          <w:sz w:val="24"/>
          <w:szCs w:val="24"/>
          <w:lang w:val="en-US" w:eastAsia="zh-CN"/>
        </w:rPr>
        <w:t>PostGIS</w:t>
      </w:r>
      <w:r>
        <w:rPr>
          <w:rFonts w:hint="default" w:asciiTheme="minorAscii" w:hAnsiTheme="minorAscii" w:eastAsiaTheme="minorEastAsia" w:cstheme="minorEastAsia"/>
          <w:b/>
          <w:bCs/>
          <w:sz w:val="24"/>
          <w:szCs w:val="24"/>
          <w:lang w:val="en-US" w:eastAsia="zh-CN"/>
        </w:rPr>
        <w:t>）：</w:t>
      </w:r>
      <w:r>
        <w:rPr>
          <w:rFonts w:hint="default" w:asciiTheme="minorAscii" w:hAnsiTheme="minorAscii" w:eastAsiaTheme="minorEastAsia" w:cstheme="minorEastAsia"/>
          <w:sz w:val="24"/>
          <w:szCs w:val="24"/>
          <w:lang w:val="en-US" w:eastAsia="zh-CN"/>
        </w:rPr>
        <w:t>是OceanBase的空间扩展，用于存储和高效查询地理信息数据，如电子围栏、资源点位、路径规划等。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Ⅱ. 服务层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这是系统的核心大脑，采用微服务架构，将整体应用拆分为一组小而自治的服务：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用户与权限服务：</w:t>
      </w:r>
      <w:r>
        <w:rPr>
          <w:rFonts w:hint="default" w:asciiTheme="minorAscii" w:hAnsiTheme="minorAscii" w:eastAsiaTheme="minorEastAsia" w:cstheme="minorEastAsia"/>
          <w:sz w:val="24"/>
          <w:szCs w:val="24"/>
          <w:lang w:val="en-US" w:eastAsia="zh-CN"/>
        </w:rPr>
        <w:t>负责身份认证、授权和单点登录。</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资源管理服务：</w:t>
      </w:r>
      <w:r>
        <w:rPr>
          <w:rFonts w:hint="default" w:asciiTheme="minorAscii" w:hAnsiTheme="minorAscii" w:eastAsiaTheme="minorEastAsia" w:cstheme="minorEastAsia"/>
          <w:sz w:val="24"/>
          <w:szCs w:val="24"/>
          <w:lang w:val="en-US" w:eastAsia="zh-CN"/>
        </w:rPr>
        <w:t>管理所有可调度实体（人、车、物）的生命周期和状态。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位置服务：</w:t>
      </w:r>
      <w:r>
        <w:rPr>
          <w:rFonts w:hint="default" w:asciiTheme="minorAscii" w:hAnsiTheme="minorAscii" w:eastAsiaTheme="minorEastAsia" w:cstheme="minorEastAsia"/>
          <w:sz w:val="24"/>
          <w:szCs w:val="24"/>
          <w:lang w:val="en-US" w:eastAsia="zh-CN"/>
        </w:rPr>
        <w:t>处理GPS/北斗数据的接收、去噪、存储和查询，提供轨迹回放、电子围栏判断等功能。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通信网关服务：</w:t>
      </w:r>
      <w:r>
        <w:rPr>
          <w:rFonts w:hint="default" w:asciiTheme="minorAscii" w:hAnsiTheme="minorAscii" w:eastAsiaTheme="minorEastAsia" w:cstheme="minorEastAsia"/>
          <w:sz w:val="24"/>
          <w:szCs w:val="24"/>
          <w:lang w:val="en-US" w:eastAsia="zh-CN"/>
        </w:rPr>
        <w:t>集成各种通信能力，如POC集群对讲、VoIP电话、视频通话、短信/消息推送。这是与通信硬件/运营商对接的关键服务。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任务调度服务：</w:t>
      </w:r>
      <w:r>
        <w:rPr>
          <w:rFonts w:hint="default" w:asciiTheme="minorAscii" w:hAnsiTheme="minorAscii" w:eastAsiaTheme="minorEastAsia" w:cstheme="minorEastAsia"/>
          <w:sz w:val="24"/>
          <w:szCs w:val="24"/>
          <w:lang w:val="en-US" w:eastAsia="zh-CN"/>
        </w:rPr>
        <w:t>负责任务的创建、分发、流转和状态跟踪。</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告警服务：</w:t>
      </w:r>
      <w:r>
        <w:rPr>
          <w:rFonts w:hint="default" w:asciiTheme="minorAscii" w:hAnsiTheme="minorAscii" w:eastAsiaTheme="minorEastAsia" w:cstheme="minorEastAsia"/>
          <w:sz w:val="24"/>
          <w:szCs w:val="24"/>
          <w:lang w:val="en-US" w:eastAsia="zh-CN"/>
        </w:rPr>
        <w:t>接收、分级、分发和处理各类告警信息。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文件服务：</w:t>
      </w:r>
      <w:r>
        <w:rPr>
          <w:rFonts w:hint="default" w:asciiTheme="minorAscii" w:hAnsiTheme="minorAscii" w:eastAsiaTheme="minorEastAsia" w:cstheme="minorEastAsia"/>
          <w:sz w:val="24"/>
          <w:szCs w:val="24"/>
          <w:lang w:val="en-US" w:eastAsia="zh-CN"/>
        </w:rPr>
        <w:t>管理图片、视频录像、文档等文件的存储和访问。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数据报表服务：</w:t>
      </w:r>
      <w:r>
        <w:rPr>
          <w:rFonts w:hint="default" w:asciiTheme="minorAscii" w:hAnsiTheme="minorAscii" w:eastAsiaTheme="minorEastAsia" w:cstheme="minorEastAsia"/>
          <w:sz w:val="24"/>
          <w:szCs w:val="24"/>
          <w:lang w:val="en-US" w:eastAsia="zh-CN"/>
        </w:rPr>
        <w:t>聚合业务数据，生成统计分析和报表。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Ⅲ. 应用层/业务逻辑层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1）API 网关：</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作为系统的唯一入口，所有客户端的请求首先到达网关。</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职责：请求路由、API聚合、身份验证、限流、熔断、日志记录。</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常用技术：Nginx。</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2）业务工作流引擎：</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用于定义和管理复杂的调度业务流程，如多级审批、标准化应急响应流程等。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Ⅳ. 网关层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这是对外暴露API的统一出口，通常与应用层的API网关合一或紧密协作。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Ⅴ. 表现层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为用户提供交互界面，通常采用前后端分离模式。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Web 控制台：</w:t>
      </w:r>
      <w:r>
        <w:rPr>
          <w:rFonts w:hint="default" w:asciiTheme="minorAscii" w:hAnsiTheme="minorAscii" w:eastAsiaTheme="minorEastAsia" w:cstheme="minorEastAsia"/>
          <w:sz w:val="24"/>
          <w:szCs w:val="24"/>
          <w:lang w:val="en-US" w:eastAsia="zh-CN"/>
        </w:rPr>
        <w:t>采用现代前端框架开发，为指挥中心操作员提供丰富的可视化管理和指挥界面（如“一张图”）。</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移动端 App：</w:t>
      </w:r>
      <w:r>
        <w:rPr>
          <w:rFonts w:hint="default" w:asciiTheme="minorAscii" w:hAnsiTheme="minorAscii" w:eastAsiaTheme="minorEastAsia" w:cstheme="minorEastAsia"/>
          <w:sz w:val="24"/>
          <w:szCs w:val="24"/>
          <w:lang w:val="en-US" w:eastAsia="zh-CN"/>
        </w:rPr>
        <w:t>为现场作业人员开发，用于接收任务、上报位置、进行音视频通信、拍照上传等。根据政务应用场景要求，开发Android版本，</w:t>
      </w:r>
      <w:r>
        <w:rPr>
          <w:rFonts w:hint="default" w:asciiTheme="minorAscii" w:hAnsiTheme="minorAscii" w:eastAsiaTheme="minorEastAsia" w:cstheme="minorEastAsia"/>
          <w:sz w:val="24"/>
          <w:szCs w:val="24"/>
          <w:u w:val="wave"/>
          <w:lang w:val="en-US" w:eastAsia="zh-CN"/>
        </w:rPr>
        <w:t>本方案纳入全业务移动端一并开发</w:t>
      </w:r>
      <w:r>
        <w:rPr>
          <w:rFonts w:hint="default" w:asciiTheme="minorAscii" w:hAnsiTheme="minorAscii" w:eastAsia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大屏可视化系统：</w:t>
      </w:r>
      <w:r>
        <w:rPr>
          <w:rFonts w:hint="default" w:asciiTheme="minorAscii" w:hAnsiTheme="minorAscii" w:eastAsiaTheme="minorEastAsia" w:cstheme="minorEastAsia"/>
          <w:sz w:val="24"/>
          <w:szCs w:val="24"/>
          <w:lang w:val="en-US" w:eastAsia="zh-CN"/>
        </w:rPr>
        <w:t>通常使用 WebGL 技术或专业可视化库，在指挥中心大屏上动态展示全局态势，</w:t>
      </w:r>
      <w:r>
        <w:rPr>
          <w:rFonts w:hint="default" w:asciiTheme="minorAscii" w:hAnsiTheme="minorAscii" w:eastAsiaTheme="minorEastAsia" w:cstheme="minorEastAsia"/>
          <w:sz w:val="24"/>
          <w:szCs w:val="24"/>
          <w:u w:val="wave"/>
          <w:lang w:val="en-US" w:eastAsia="zh-CN"/>
        </w:rPr>
        <w:t>本方案纳入数据可视化系统中一并开发</w:t>
      </w:r>
      <w:r>
        <w:rPr>
          <w:rFonts w:hint="default" w:asciiTheme="minorAscii" w:hAnsiTheme="minorAscii" w:eastAsia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Ⅵ. 横切关注点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以下要素贯穿所有架构层，是系统稳定可靠的保障。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1）安全体系：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认证与授权：OAuth 2.0 / OpenID Connect / JWT。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数据加密：传输层使用TLS/SSL，存储层对敏感数据进行加密。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安全审计：记录所有关键操作日志。</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2）可观测性：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日志：集中式日志收集与分析。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监控：对服务性能、基础设施状态进行实时监控和告警。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追踪：使用链路追踪，用于诊断跨多个服务的请求问题。</w:t>
      </w:r>
    </w:p>
    <w:p>
      <w:pPr>
        <w:keepNext w:val="0"/>
        <w:keepLines w:val="0"/>
        <w:pageBreakBefore w:val="0"/>
        <w:widowControl w:val="0"/>
        <w:numPr>
          <w:ilvl w:val="0"/>
          <w:numId w:val="32"/>
        </w:numPr>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服务治理：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服务注册与发现、配置中心、熔断器、负载均衡。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Ⅶ. 关键技术特点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1）解耦与弹性：</w:t>
      </w:r>
      <w:r>
        <w:rPr>
          <w:rFonts w:hint="default" w:asciiTheme="minorAscii" w:hAnsiTheme="minorAscii" w:eastAsiaTheme="minorEastAsia" w:cstheme="minorEastAsia"/>
          <w:sz w:val="24"/>
          <w:szCs w:val="24"/>
          <w:lang w:val="en-US" w:eastAsia="zh-CN"/>
        </w:rPr>
        <w:t>微服务架构使得各服务可以独立开发、部署和扩展。例如，在高峰期可以单独扩展位置服务或通信服务。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2）高可用性：</w:t>
      </w:r>
      <w:r>
        <w:rPr>
          <w:rFonts w:hint="default" w:asciiTheme="minorAscii" w:hAnsiTheme="minorAscii" w:eastAsiaTheme="minorEastAsia" w:cstheme="minorEastAsia"/>
          <w:sz w:val="24"/>
          <w:szCs w:val="24"/>
          <w:lang w:val="en-US" w:eastAsia="zh-CN"/>
        </w:rPr>
        <w:t>通过集群部署和负载均衡，避免单点故障。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3）技术异构性：</w:t>
      </w:r>
      <w:r>
        <w:rPr>
          <w:rFonts w:hint="default" w:asciiTheme="minorAscii" w:hAnsiTheme="minorAscii" w:eastAsiaTheme="minorEastAsia" w:cstheme="minorEastAsia"/>
          <w:sz w:val="24"/>
          <w:szCs w:val="24"/>
          <w:lang w:val="en-US" w:eastAsia="zh-CN"/>
        </w:rPr>
        <w:t>不同服务可以根据自身特点选择最合适的技术栈。</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4310" cy="2089150"/>
            <wp:effectExtent l="0" t="0" r="13970" b="13970"/>
            <wp:docPr id="70" name="图片 70" descr="软件系统架构图-指挥调度系统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软件系统架构图-指挥调度系统1114"/>
                    <pic:cNvPicPr>
                      <a:picLocks noChangeAspect="1"/>
                    </pic:cNvPicPr>
                  </pic:nvPicPr>
                  <pic:blipFill>
                    <a:blip r:embed="rId55"/>
                    <a:stretch>
                      <a:fillRect/>
                    </a:stretch>
                  </pic:blipFill>
                  <pic:spPr>
                    <a:xfrm>
                      <a:off x="0" y="0"/>
                      <a:ext cx="5274310" cy="2089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after="333" w:afterLines="10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图46 指挥调度系统功能结构图</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指令台：融合通信核心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作为指挥</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调度</w:t>
      </w:r>
      <w:r>
        <w:rPr>
          <w:rFonts w:hint="default" w:asciiTheme="minorAscii" w:hAnsiTheme="minorAscii" w:eastAsiaTheme="minorEastAsia" w:cstheme="minorEastAsia"/>
          <w:sz w:val="24"/>
          <w:szCs w:val="24"/>
        </w:rPr>
        <w:t>的基础操作界面，实现全方位、多模式的通讯联络。</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语音通话</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一对一语音通话：支持指挥台与任意单个在线终端（如手持终端、车载设备）建立高清、稳定的双向语音通话。</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对讲通话</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对讲通话：支持创建临时任务组或固定群组，实现“一键按下、多方对讲”的集群通话模式，满足团队协同作业需求。</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热线接听</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热线接听：为指挥中心设立专属热线号码，支持多路呼叫排队与指挥员一键接听，确保信息上报渠道畅通。</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紧急呼叫</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紧急呼叫：最高优先级的通讯通道，可强制介入（强插）现有通话，并自动启动全程录音与向相关责任人推送告警通知，确保紧急信息优先处置。</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短信息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短信息：支持与各类终端之间进行文本短信的发送、接收与回复，作为语音通讯的有效补充。</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消息指令</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结构化消息指令：提供预置的任务指令模板，可快速生成并下发带有标准格式、明确字段（如任务目标、地点、要求、时限）的指令，实现指令的规范化与可追溯。</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视频调度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视频调度为可视化指挥之眼，通过整合视频资源，为指挥决策提供直观的视觉依据。</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视频监控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实时视频调阅：支持按设备名称、设备分组、地理区域等多种维度，快速检索并调取前端摄像头（包括固定与移动设备）的实时视频流。</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视频会议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视频会议：可快速发起或预约多方参与的远程视频会议，支持屏幕共享功能，便于进行跨地域的案情会商、方案研讨与协同决策。</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视频录制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视频录制：支持对任意调阅的视频源进行手动录制，并可设定规则，在特定告警事件触发时自动启动录制，留存关键证据。</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视频转发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视频转发：可将重要的实时视频流或录像片段，通过生成链接或推送码流的方式，快速分享给其他授权用户或推送至大屏进行上墙展示。</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GIS调度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基于地理信息系统，实现资源与行动的“一张图”指挥。</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定位显示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定位显示：在电子地图上，以图标形式实时显示所有人员、车辆等移动终端的精确位置，并通过颜色和图标区分其在线、忙碌、告警等状态。</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活动轨迹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活动轨迹：支持查询并在地图上高亮绘制指定终端在特定时间段内的历史移动路径。</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历史回放</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历史回放：支持同步回放多个终端在过去某一时段的移动轨迹，并可关联调阅该时段的历史视频录像，用于事件复盘与分析。</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图选调度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图选调度：指挥员可直接在地图上通过框选、圈选等操作，快速选定某一地理区域内的所有终端，并对其进行批量语音呼叫、消息下发或任务派发。</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广播调度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实现一对多的信息快速广播与确认。</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语音广播</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语音广播：可向单个终端、特定分组或全区所有终端发起单向的语音广播通知，适用于紧急疏散、统一指令下达等场景。</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文字广播</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文字广播：向终端发送文字通知，并可要求接收方回复确认回执，确保重要信息送达并知悉。</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增强调度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提升系统管理能力与调度操作效率的基础功能。</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短消息转发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短消息转发：可将接收到的短信报警或系统告警信息，快速转发给其他相关责任人，实现信息共享与协同。</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图片采集与上传</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图片采集与上传：可远程指令前线终端即时拍摄现场图片，并自动回传至指挥中心，为指挥决策提供第一手视觉情报。</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分级管理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分级管理与权限控制：采用基于角色的权限模型，支持多级指挥体系（如市局中心、分中心），不同角色拥有不同的调度与查看权限。</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组管理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分组管理：支持按部门、职责、项目等对终端和用户进行灵活的层级化分组管理。</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加密通信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加密通信：支持端到端的音视频通话加密，确保指挥通讯内容的安全性与保密性。</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终端状态指示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终端状态指示：提供全局视图，以列表或面板形式实时刷新并颜色编码所有终端状态，一目了然。</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图形化调度台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图形化调度台：提供高度可视化的操作界面，支持通过拖拽终端图标等方式，直观、便捷地完成指令下发与资源调配。</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应急调度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面向突发事件，提供从感知到复盘的全流程智能化处置支持。</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事件感知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多源事件接入：自动汇聚并接入来自IoT物联平台、业务系统、热线电话等多种渠道的告警与事件信息。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事件智能去重与关联：利用算法对同一事件的多源头报告进行自动识别、去重和关联，形成统一事件视图，避免重复处置。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事件等级自动判定：根据预设规则库（综合考虑影响范围、人员伤亡、财产损失、紧急程度等），自动初判事件等级（如Ⅰ、Ⅱ、Ⅲ、Ⅳ级）。</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预案管理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数字化预案库：将传统文本预案转化为结构化的数字预案，支持版本管理与快速检索。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预案匹配与启动：系统根据事件类型、等级等信息，自动匹配并推荐最优处置预案，指挥员可一键启动。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预案执行导引：启动预案后，系统以任务清单形式，逐步引导指挥员完成预案中的关键步骤，防止遗漏。</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资源调度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资源智能推荐：根据事件位置、类型以及周边资源（人员、车辆、物资）的实时状态（位置、空闲/忙碌），智能推荐最近、最合适的处置力量。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资源一键调度：在智能推荐的基础上，支持指挥员一键将调度指令（语音、消息、结构化任务）下发至指定人员或班组。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资源动态追踪：在GIS地图上实时追踪已派出资源的位置、行进轨迹、当前状态与任务执行进度。</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协同指挥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跨部门协同通道建立：根据预案或指挥员指令，自动创建包含所有相关部门的临时协同通讯组（整合语音、视频、消息）。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指令与信息同步：确保所有任务指令、现场反馈、情报信息在协同组内实时同步，保持各方信息一致。</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过程管控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任务超时预警：对预案或指令中的关键任务节点设置完成时限，超时前自动预警执行人及指挥员。</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处置过程记录：系统自动归档事件处置全过程中的所有关键通讯录音、下达指令、回传文件与操作日志，形成完整电子档案。</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闭环与复盘</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处置结果上报与确认：现场处置人员通过APP上报处置结果与现场证据，指挥中心在线审核并确认事件闭环。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智能报告生成：基于系统自动记录的处置过程档案，快速生成结构清晰、内容全面的结构化事件处置报告。</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处置效能评估：系统自动计算并分析响应时间、处置时长、资源到位率等关键指标，对本次事件的处置效能进行量化评估，为优化预案和流程提供数据支撑。</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视频上墙</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视频上墙控制：支持将视频监控、视频会议、PC桌面、业务系统界面等多种信号源，灵活推送到指挥中心大屏幕进行组合显示。</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云台控制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视频上墙控制：支持将视频监控、视频会议、PC桌面、业务系统界面等多种信号源，灵活推送到指挥中心大屏幕进行组合显示。</w:t>
      </w:r>
    </w:p>
    <w:p>
      <w:pPr>
        <w:pStyle w:val="8"/>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数据日志</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数据日志：系统全面记录所有用户操作、系统运行事件、通讯记录（通话、消息）等，提供完善的查询与审计功能，满足安全管理与责任追溯要求。</w:t>
      </w:r>
    </w:p>
    <w:p>
      <w:pPr>
        <w:pStyle w:val="7"/>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智慧管理系统</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慧管理系统是白龙湖“三水一体协同管控”体系的“数据中枢”与“业务引擎”，它通过对水质、水文、气象、视频乃至无人设备等全要素监测数据的汇聚、治理、分析与应用，实现对环境态势的精准感知、风险隐患的智能预警、监测业务的统一管理以及信息的高效发布，为科学决策与高效运营提供核心数据支撑。</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智慧管理系统在传统管理系统之上增强了感知、分析、决策和执行能力，其核心目标是利用物联网、大数据、人工智能等技术实现自动化管理，采用微服务架构，整体分为六个层次和两个贯穿始终的体系。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核心架构分为：交互层、应用层、智能层、数据层、连接与边缘层、物理对象层和安全、运维与管理体系。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1）物理对象层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这是系统管理和控制的物理实体。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设备与传感器：如摄像头、水质传感器、雷达流速计、雷达水位计、温湿度传感器、风速、风向、负氧离子监测传感器等，负责采集物理世界数据。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执行器与控制单元：如云台、显示屏等，负责接收指令并改变物理世界状态。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2）连接与边缘层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负责物理世界与数字世界的桥梁作用，是实时处理的“前线”。</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网络通信：包括5G、Wi-Fi、蓝牙、LoRa、Zigbee、工业总线等，负责数据传输。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边缘计算网关：</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协议解析：将不同设备的各种协议转换为标准格式。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边缘处理：在数据源头进行初步过滤、清洗、聚合和实时分析，降低云端压力，满足低延迟需求（如设备故障的毫秒级响应）。</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边缘智能：运行轻量级AI模型，进行实时推理和决策。</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3）数据层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系统的“数据湖”或“数据仓库”，是所有智能的基础。</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多模数据存储：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时序数据库：存储传感器产生的带时间戳的数据。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大数据平台：存储海量的历史数据、日志数据。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关系型数据库：存储业务核心数据、元数据。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NoSQL数据库：存储非结构化数据，如图片、视频。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数据湖：集中存储所有原始数据，供后续挖掘分析。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数据治理与集成：确保数据质量、一致性和安全性。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4）智能层-“智慧”的核心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这是智慧管理系统区别于传统系统的大脑，负责从数据中提炼价值并产生决策。这部分内容纳入AI支撑系统开发。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AI引擎与算法库：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机器学习：用于预测性维护（预测设备故障）、需求预测、异常检测等。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深度学习/计算机视觉：用于图像识别（安防监控、质量检测）、自然语言处理（智能客服、报告分析）。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优化算法：用于路径规划、资源调度、能耗优化。</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规则引擎：处理基于明确逻辑的业务规则。</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5）应用层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将智能能力封装成具体的业务功能，面向用户提供服务。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微服务群：以API形式提供各种能力，如“设备管理服务”、“预测性维护服务”、“能耗分析服务”。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API 网关：作为所有微服务的统一入口，处理认证、路由、限流等。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业务工作流引擎：编排复杂的业务流程，实现跨服务的自动化任务流。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6）交互层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用户与系统交互的界面，强调可视化和情景感知。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Web管理后台：为管理员提供全面的配置、监控和管理功能。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数据可视化大屏：面向指挥中心，宏观展示关键指标和全局态势。</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移动App：为现场人员和移动用户提供便捷的操作和通知。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智能助手/聊天机器人：提供自然语言交互界面。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7）横切关注点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这两个体系贯穿所有架构层，是系统稳定、可靠、可信的基石。</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安全体系：①端到端安全：从设备身份认证、传输加密到云端数据访问控制。②隐私保护：尤其涉及人脸、位置等敏感数据时。③网络安全：防火墙、入侵检测等。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运维与管理体系：可观测性：统一的日志、监控、告警和链路追踪。</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DevOps/MLOps：实现应用和AI模型的持续集成、持续交付和持续训练。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配置管理与服务治理。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8）关键特征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数据驱动：所有决策基于数据，而非经验直觉。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预测与主动：从“事后补救”变为“事前预测”和“事中干预”。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自动化闭环：实现“感知-分析-决策-执行”的自动循环，减少人工干预。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w:t>
      </w:r>
      <w:r>
        <w:rPr>
          <w:rFonts w:hint="default" w:asciiTheme="minorAscii" w:hAnsiTheme="minorAscii" w:eastAsiaTheme="minorEastAsia" w:cstheme="minorEastAsia"/>
          <w:spacing w:val="-6"/>
          <w:sz w:val="24"/>
          <w:szCs w:val="24"/>
          <w:lang w:val="en-US" w:eastAsia="zh-CN"/>
        </w:rPr>
        <w:t>适应与自学习：系统能够根据反馈结果不断优化模型和策略，越用越“聪明”。</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高度集成与开放：能够轻松集成第三方系统和数据源。</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2405" cy="1988820"/>
            <wp:effectExtent l="0" t="0" r="635" b="7620"/>
            <wp:docPr id="59" name="图片 59" descr="软件系统架构图-智慧管理系统2025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软件系统架构图-智慧管理系统20251225"/>
                    <pic:cNvPicPr>
                      <a:picLocks noChangeAspect="1"/>
                    </pic:cNvPicPr>
                  </pic:nvPicPr>
                  <pic:blipFill>
                    <a:blip r:embed="rId56"/>
                    <a:stretch>
                      <a:fillRect/>
                    </a:stretch>
                  </pic:blipFill>
                  <pic:spPr>
                    <a:xfrm>
                      <a:off x="0" y="0"/>
                      <a:ext cx="5272405" cy="1988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after="333" w:afterLines="10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图47 智慧管理系统功能结构图</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综合环境监测与预警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实现对水环境及关联气象条件的全方位、智能化监控。</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水质监测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数据管理：通过多协议适配，自动采集并接入各监测点的实时水质数据（如pH、溶解氧、氨氮等），并进行数据清洗、逻辑校验与标准化处理，确保数据质量。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数据分析：提供强大的多维统计分析能力，支持从时间、空间维度进行对比分析、达标率计算，并自动生成各类统计图表。基于历史数据与水文模型，能对水质变化趋势进行预测模拟，为前瞻性管理提供依据。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预警处置：支持多参数组合预警与水质渐变预警，允许用户自定义预警规则。一旦触发，系统自动生成预警事件并跟踪其处置闭环，确保问题得到及时解决。</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流量监测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数据管理：自动接入流量监测数据，具备异常值过滤与缺失数据插值补全能力。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数据分析：进行流量时段分析、峰谷识别，并自动生成日报、月报及同比/环比分析报告，掌握流量规律。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预警处置：设定动态阈值，对流量骤升、骤降等异常工况进行智能识别与告警。</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水位监测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数据管理：保障水位数据的连续、稳定接入。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数据分析与预警：结合实时降雨量数据，进行水位趋势分析，并实现汛限水位智能预警。建立多级（警戒、保证、危急）水位警戒预警体系，并能联动启动相应的应急响应流程。</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气象及空气质量监测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数据管理：接收并整合自建气象站及外部数据源的气象信息。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数据分析：提供气象要素统计、历史同期对比、灾害天气影响评估等深度分析功能。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预警处置：自动接收并解析极端天气预警信息，触发系统内部预置的分级响应预案，实现与气象灾害的协同应对。</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视频综合应用与智能识别</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构建“看得懂”的智能视频应用体系，提升可视化管控能力。</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实时监控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高清多路实时预览：支持高并发、低延迟的多路视频实时浏览，用户可自定义视频分组与轮巡方案。</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录像检索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智能录像检索与摘要：支持基于事件（如移动侦测、区域入侵）或智能分析结果的快速录像检索，并能自动生成关键事件视频摘要，极大提升录像查阅效率。</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设备控制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全景云台控制：提供球机全景预览、预置位管理、3D定位、轨迹扫描等高级云台控制功能，实现精准、高效的视频调度。</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智能应用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AR实景一张图：在实时视频画面上叠加设备状态、环境数据、预警信息等标签，实现“视频+数据”的融合指挥，让态势感知更直观。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人车物属性识别与统计：不仅能进行数量统计，还能识别车辆类型、颜色，人员穿着特征等属性，并进行分类统计，为管理决策提供精细化数据。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视频智能检索平台：提供统一的视频AI算法管理界面，支持以图搜图、行为分析（如徘徊、聚集）等多种智能检索功能。</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预警处置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视频智能预警中心：作为视频AI告警的统一入口，接收、展示并分发来自各类智能分析算法（如入侵检测、违章停车、烟火识别）的告警事件，并实现与其它业务系统的联动处置。</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信息发布与精准触达</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构建统一、高效、智能的全媒体信息发布体系。</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素材管理中心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多媒体素材库：集中管理所有发布素材，支持版本控制、生命周期管理、版权信息记录，并提供文字敏感内容自动预警。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素材批量导入：支持素材的一键批量导入，提升运营效率。</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节目编排</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高级可视化编辑器：提供强大的图文、视频编辑能力，支持动画特效、数据可视化组件（图表、地图）嵌入，并能对接第三方数据接口，实现信息动态更新。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节目模板市场与协作：建立模板市场，促进素材复用；支持多用户协同编辑，并提供版本对比与回溯功能。</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发布计划</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高级计划排程引擎：支持复杂的发布计划，如条件触发（如当水质超标时自动发布通知）、事件驱动、动态时间计划，并能自动检测和解决优先级冲突。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全流程发布审批：支持自定义多级、并行、会签审批流程，并可与多维协同系统集成，确保发布内容合规。</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终端管理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终端设备全生命周期管理：管理所有发布终端（如大屏、信息屏）的硬件配置、软件版本、维修记录及能耗统计。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终端远程运维与诊断：支持远程桌面控制、日志抓取、故障告警，并提供智能诊断与处理建议，降低运维成本。</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数据统计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全维度发布数据驾驶舱：可视化展示发布覆盖率、内容触达率、终端在线率与健康度等多维度运营数据。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投放效果AI评估：利用AI模型，结合外部数据（如人流量、舆情），对宣传内容的投放效果进行量化评估与优化建议。</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无人设备智能应用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拓展立体化、自动化的监测与作业手段。</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无人机巡航</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人员管理：系统角色与权限，不同角色的成员拥有不同的操作权限。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设备管理：统一管理团队内的所有设备，随时查看设备在线状态与正在执行的任务。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管理：①组织管理员管理组织内的人员、设备和项目；②组织成员可查看项目、添加设备和退出组织；③项目管理员管理项目生命周期，具备项目内所有操作权限；项目成员具备项目内的基本作业权限。④组织下包含多个项目，组织权限和项目权限相互独立，支持创建项目时加入组织成员，以及通过项目编码加入组织/临时人员。</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协同作业任务：团队中的不同角色均可通过云平台同步信息，高效联动。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智能巡检任务：搭配成套机场，可实现全天候、无人化作业，全面提升巡检作业效率。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面、实时的态势感知：自带全高程信息，让平面地图立体化。实用的地理信息，使任务规划更合理。支持建筑物三维白模数据显示，更好了解现场环境；支持抗拒锯齿显示，提升地图标注效果；支持标准地图与卫星地图，更好满足各类场景底图需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实时直播：支持多路无人机低延时高清画面直播，实时了解一线动态。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云端建图：支持可见光或红外建图，无论白天还是黑夜，都可高效获取任务区域内最新的影像数据。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一键全景，实时回传：无人机“一键全景”拍摄完成后，全景图可实时上传到无人值守平台，并自动显示在对应的地理位置上。</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标注与信息共享：可在遥控器、移动设备和电脑端标记目标、规划路线、分配作业区域，并实时同步。团队成员位置、无人机状态、任务、地图等信息，可以在多端实时共享。</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搜索救援任务：1）组建救援任务团队：①事件接入后，通过无人值守平台快速创建任务，分配好任务人员（指挥员、飞手队伍、地面救援队伍）；②根据最新事件信息，图上标注人员走失位置、搜索区域等信息。2）救援区域建图：在救援区域飞行过程中，可快速生成可见光、红外二维码正射影像。3）任务区域搜索：①前指标绘制划分搜索任务区域，分发任务信息给不同飞手执行；②视频实时直播（红外、可见光）。4）救援目标标注：①遥控器地图显示对应任务信息，发现救援目标位置进行标绘；②绘制救援路线，标绘的位置信息、路线信息实时同步给指挥中心、地面移动端。5）多端任务信息同步、分享：①任务链接一键分享至移动端，移动端查看目标信息与位置；②救援队伍前往目标地点。后指可实时查看救援队伍移动端图标在地图上移动。6）人员救援画面记录：①遥控器画面录屏，记录地面人员移动画页。②指挥中心进行直播画面录制，救援内容保留至任务云端媒体库，自动归档。</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巡检任务：1）一张图数据管理：支持在基础地图上叠加高清二维正射、三维模型、标准等数据，全面掌握项目现场状态；2）指令飞行：网页端获取飞机控制权，支持键盘WASD操作飞行，支持创建目标点直飞，支持云台控制，任务操控更精准；3）三维精细化航线规划：1）基于3D模型沙盘、第一人称视角的虚拟飞行、所见即所得的交互，实现足不出户的高效、精准、易操作航线规划。4）精准复拍：根据所选择的拍摄目标，利用机器学习能力，匹配精准复拍模板，实现拍的到、拍的清、拍的准的效果，满足更多巡逻/巡检作业场景要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数据分析：采集并统计无人机的飞行时长、航线覆盖等数据，量化巡检效能。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预警管理：记录并管理无人机在巡航过程中产生的各类设备告警与任务告警。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注：在智慧管理系统中需要开发的仅数据分析、预警管理两大功能，其他功能由“无人机无人值守平台（一体机）”提供。</w:t>
      </w:r>
    </w:p>
    <w:p>
      <w:pPr>
        <w:pStyle w:val="9"/>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系统底座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作为系统的技术底座，保障系统的协同性、安全性与可管理性。</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告警处置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跨系统告警聚合与降噪：集成来自各监测子系统的告警信息，进行统一展示、智能降噪（去重、过滤）和根因分析，帮助用户聚焦核心问题。</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告警联动与预案执行：支持告警与视频联动（弹窗、定位）、信息发布联动、维修工单自动创建等预案化处置流程，提升应急响应效率。</w:t>
      </w:r>
    </w:p>
    <w:p>
      <w:pPr>
        <w:pStyle w:val="10"/>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基础组件：实现统一的用户、角色、权限的精细化管理（RBAC模型），并提供完整的操作日志审计功能，满足安全与合规要求。</w:t>
      </w:r>
    </w:p>
    <w:p>
      <w:pPr>
        <w:pStyle w:val="7"/>
        <w:pageBreakBefore w:val="0"/>
        <w:widowControl w:val="0"/>
        <w:kinsoku/>
        <w:wordWrap/>
        <w:overflowPunct/>
        <w:topLinePunct w:val="0"/>
        <w:autoSpaceDE/>
        <w:autoSpaceDN/>
        <w:bidi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环境秩序导引系统</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环境秩序导引系统</w:t>
      </w:r>
      <w:r>
        <w:rPr>
          <w:rFonts w:hint="default" w:asciiTheme="minorAscii" w:hAnsiTheme="minorAscii" w:eastAsiaTheme="minorEastAsia" w:cstheme="minorEastAsia"/>
          <w:sz w:val="24"/>
          <w:szCs w:val="24"/>
          <w:lang w:val="en-US" w:eastAsia="zh-CN"/>
        </w:rPr>
        <w:t>既是引导景区内人员有序活动的技术手段，又是现代化景区的“数字导游”与“服务窗口”，旨在通过移动互联网、LBS定位及多媒体技术，为来往白龙湖风景名胜区的人们提供精准化、个性化、沉浸式的全程导引服务。同时，该系统也为白龙湖风景名胜区管理者提供数据化运营的有效工具，实现从传统的静态服务到动态、智能管理的升级，全面提升来往人员的体验与景区管理效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同时，环境秩序导引系统不仅能够促进景区游客有序流动、保护生态环境免遭无序破坏，而且有利于白龙湖风景名胜区的绿色发展。</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环境秩序导引系统的核心目标是：通过技术手段，为白龙湖风景名胜区来往人员提供个性化、互动化、情境化的出行体验，同时为管理方提供数据支持和运营管理工具其架构是一个典型的面向服务的云-边-端协同体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核心架构由表现层/交互层、API网关、应用服务层/云平台、能力中台/智能层、数据持久层、网络与通信层、终端层，以及安全、运维与管理体系（贯穿所有层）组成，各层详解如下：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1）终端层—“感知与交互的触角”</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这是游客直接接触的硬件设备，负责采集环境和用户数据，并交付内容。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游客终端：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智能手机App/小程序：最主流的方式，利用手机自有传感器（GPS、摄像头、陀螺仪）。</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AR/VR眼镜：提供沉浸式体验。</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自助租借设备：如RFID/UWB讲解器、平板电脑，适用于提供标准化设备或需要高精度定位的场景。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基础设施终端：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信标：通过蓝牙向附近手机推送内容。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二维码/NFC标签：成本低廉，触发简单。</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室内定位基站：用于场馆等室内环境的高精度定位。</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智能摄像头：用于人流统计、轨迹分析。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2）网络与通信层—“信息高速公路”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负责连接终端与云端，确保数据稳定传输。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移动网络：4G/5G，保障户外连续覆盖和高速数据传输。</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无线局域网：Wi-Fi，在室内场馆提供高带宽连接。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短距离通信：蓝牙、NFC，用于触发和近场通信。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位置服务网络：GPS/北斗用于室外定位，结合Wi-Fi、蓝牙、UWB实现室内精确定位。</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3）数据持久层—“系统的记忆”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存储所有系统运行所需的数据。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关系型数据库：存储结构化数据，如用户信息、景点元数据、订单信息。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NoSQL数据库：存储非结构化数据，如游客行为日志、UGC内容。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时空数据库：专门优化用于存储和查询带地理位置和时间戳的数据（如游客轨迹）。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对象存储：存储海量多媒体内容，如讲解音频、视频、3D模型、全景图片。</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4）能力中台 / 智能层—“智慧的大脑”</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这是系统智能化的核心，以微服务或API形式提供各种核心能力。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定位服务：融合多种信号，输出游客的实时精确位置（室内外无缝切换）。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内容管理服务：对所有导览内容进行增删改查、版本管理和多语言支持。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推荐引擎：基于游客画像、实时位置、行为历史和兴趣标签，智能推荐游览路线和下一个景点。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AR引擎：提供图像识别、3D注册、渲染等能力，实现虚拟物体与真实世界的叠加。</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数据智能服务：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人流热力图分析：实时监控区域密度，进行疏导预警。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游客画像分析：分析游客群体特征和偏好。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路径模式分析：发现热门路线和瓶颈点。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5）应用服务层 / 云平台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封装业务逻辑，向上提供应用接口。</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业务微服务群：</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用户服务：注册、登录、偏好管理。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导览服务：根据位置自动触发讲解内容。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路线服务：提供经典路线、个性化定制路线。</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互动服务：管理寻宝、答题等互动游戏。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支付与电商服务：处理门票、周边商品购买。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API 网关：所有前端请求的统一入口，负责鉴权、限流、路由。</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6）表现层 / 交互层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用户与系统交互的界面。</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游客端：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移动App：功能最全面，提供地图导览、AR互动、个人中心等。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微信小程序：即用即走，轻量便捷，适合轻度体验。</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Web端：适合行前规划和事后分享。</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管理端：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Web管理后台：用于内容管理、用户管理、数据看板、系统监控。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7）关键特征与“智慧”体现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情景感知：通过实时定位，系统能感知游客“在哪里”，从而自动推送相关讲解。</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个性化：通过用户画像和推荐算法，为不同兴趣（如历史、艺术、自然）的游客提供“千人千面”的路线和内容。</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互动性与沉浸感：通过AR、游戏化设计，将单向的“听讲解”变为双向的“探索与发现”。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数据驱动运营：系统后台为管理方提供数据支持，帮助优化游览路线、调整设施布局、评估内容受欢迎程度，实现精细化运营。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闭环生态：将导览、消费、社交分享打通，构建白龙湖风景名胜区人与自然和谐共生的生态范式，推进绿色环保事业、实现该区域可持续发展。</w:t>
      </w:r>
    </w:p>
    <w:p>
      <w:pPr>
        <w:pStyle w:val="8"/>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7485" cy="1199515"/>
            <wp:effectExtent l="0" t="0" r="10795" b="4445"/>
            <wp:docPr id="20" name="图片 20" descr="软件系统架构图20251217-环境秩序导引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软件系统架构图20251217-环境秩序导引系统"/>
                    <pic:cNvPicPr>
                      <a:picLocks noChangeAspect="1"/>
                    </pic:cNvPicPr>
                  </pic:nvPicPr>
                  <pic:blipFill>
                    <a:blip r:embed="rId57"/>
                    <a:stretch>
                      <a:fillRect/>
                    </a:stretch>
                  </pic:blipFill>
                  <pic:spPr>
                    <a:xfrm>
                      <a:off x="0" y="0"/>
                      <a:ext cx="5277485" cy="1199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33" w:beforeLines="100" w:after="333" w:afterLines="100" w:line="300" w:lineRule="exac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图48 环境秩序导引系统功能结构图</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景区导览：全方位的数字导游服务</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构建景区的基础数字地图与信息库，是环境秩序导引的核心。</w:t>
      </w:r>
    </w:p>
    <w:p>
      <w:pPr>
        <w:pStyle w:val="1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地图服务</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手绘/电子地图加载：提供高清、美观的手绘风格或精细电子地图，清晰展示所有道路、建筑轮廓和自然景观，兼具艺术性与实用性。</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兴趣点(POI)标注：在地图上详尽标注各类兴趣点，包括景点、餐厅、商店、洗手间、停车场、售票处、医务室等。游客点击任一POI，即可查看其名称、简介、营业时间等详细信息。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实时定位与方向追踪：融合GPS、Wi-Fi及蓝牙iBeacon等多种定位技术，实现游客在景区内的厘米级到米级的精准实时定位。地图界面会随游客手机方向旋转，提供“指哪走哪”的直观导航体验。</w:t>
      </w:r>
    </w:p>
    <w:p>
      <w:pPr>
        <w:pStyle w:val="1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景点百科</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图文语音介绍：为每个景点提供丰富的文字介绍、高清图片集，并配备专业的语音讲解服务（支持自动触发与手动点播），让游览过程更具深度。</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360°全景/VR预览：对核心景点提供360度全景图片或VR视频体验，让游客在到达前即可进行“云游览”，获得沉浸式的预览感受，有效激发游览兴趣。</w:t>
      </w:r>
    </w:p>
    <w:p>
      <w:pPr>
        <w:pStyle w:val="9"/>
        <w:keepNext w:val="0"/>
        <w:keepLines w:val="0"/>
        <w:pageBreakBefore w:val="0"/>
        <w:widowControl w:val="0"/>
        <w:kinsoku/>
        <w:wordWrap/>
        <w:overflowPunct/>
        <w:topLinePunct w:val="0"/>
        <w:autoSpaceDE/>
        <w:autoSpaceDN/>
        <w:bidi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推荐与智能路线规划：个性化的行程顾问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基于游客位置与偏好，提供智能化的行程规划服务。</w:t>
      </w:r>
    </w:p>
    <w:p>
      <w:pPr>
        <w:pStyle w:val="10"/>
        <w:keepNext w:val="0"/>
        <w:keepLines w:val="0"/>
        <w:pageBreakBefore w:val="0"/>
        <w:widowControl w:val="0"/>
        <w:kinsoku/>
        <w:wordWrap/>
        <w:overflowPunct/>
        <w:topLinePunct w:val="0"/>
        <w:autoSpaceDE/>
        <w:autoSpaceDN/>
        <w:bidi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主题路线推荐</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经典/亲子/文化/打卡路线：根据景区资源特色，预先精心设计并打包多条不同主题（如“2小时经典游”、“亲子欢乐之旅”、“文化深度游”、“网红打卡路线”）、不同时长和强度的游览路线，游客可一键选用，省心省力。</w:t>
      </w:r>
    </w:p>
    <w:p>
      <w:pPr>
        <w:pStyle w:val="1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智能路线规划</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实时最优路径计算：根据游客实时位置和选定的目标景点（或整条路线起点），自动计算并动态导航最优步行路径，有效节省游客时间与体力。</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多人会合点路径规划：针对团队游客，只需输入一个景点作为集合点，系统即可为团队中的每位成员分别规划从其当前位置到集合点的最佳路线，解决团队走散难题。</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个性化路线定制：专属的行程创造工具</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赋予游客创造专属旅程的能力，并满足分享需求。</w:t>
      </w:r>
    </w:p>
    <w:p>
      <w:pPr>
        <w:pStyle w:val="1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我的行程规划</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自定义景点点选：允许游客像“购物车”一样，在地图上自由点选多个感兴趣的景点，系统自动将这些点串联起来，生成一条专属定制路线，并预估总游览时长。</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条件筛选路线生成：游客可通过输入“可用时间”（如1小时）、选择“体力等级”（如轻松、中等）、勾选“兴趣标签”（如自然风光、历史古迹），由系统智能生成完全符合其需求的个性化推荐路线。</w:t>
      </w:r>
    </w:p>
    <w:p>
      <w:pPr>
        <w:pStyle w:val="1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行程记录与分享</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游览轨迹记录：在游客授权下，系统自动记录其完整的游览轨迹、途经的景点列表以及总耗时。行程结束后，可生成精美的“游览足迹”图，方便游客回顾与分享至社交平台。</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导览管理：景区的智慧运营后台</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为景区管理者提供内容管理与数据监控的强大工具。</w:t>
      </w:r>
    </w:p>
    <w:p>
      <w:pPr>
        <w:pStyle w:val="1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后台数据管理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POI内容管理：提供易用的后台管理系统，运营人员可随时更新和维护所有POI的图文介绍、语音内容、位置信息等，保证信息的准确性与时效性。</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路线与推荐管理：可在后台灵活创建、编辑、上架或下架各类推荐路线，并能根据季节、活动等因素调整路线推荐策略。</w:t>
      </w:r>
    </w:p>
    <w:p>
      <w:pPr>
        <w:pStyle w:val="1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运营监控</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实时热力图：系统根据游客的定位数据，在后台生成景区实时人流热力图。管理者可直观掌握各区域的人流密度，对于人流超限区域及时做出疏导决策，保障游客安全与游览体验。</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辅助功能：贴心的游览保障</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解决游客在游览过程中的实际需求与突发情况。</w:t>
      </w:r>
    </w:p>
    <w:p>
      <w:pPr>
        <w:pStyle w:val="1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实用工具</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设施查找与导航：提供“找附近”功能，可快速筛选并定位最近的洗手间、餐厅、观光车站等设施，并提供一键导航直达，解决游客燃眉之急。</w:t>
      </w:r>
    </w:p>
    <w:p>
      <w:pPr>
        <w:pStyle w:val="9"/>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紧急求助与SOS</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紧急求助与SOS：在App内提供显眼的 “SOS”一键求助按钮。触发后，系统会立即将游客的精准位置信息发送至景区管理中心的指挥平台，并可自动接通景区安保或医务部门的紧急电话，为游客安全提供坚实保障。</w:t>
      </w:r>
    </w:p>
    <w:p>
      <w:pPr>
        <w:pStyle w:val="7"/>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“三水”慢直播系统</w:t>
      </w:r>
    </w:p>
    <w:p>
      <w:pPr>
        <w:pStyle w:val="8"/>
        <w:pageBreakBefore w:val="0"/>
        <w:widowControl w:val="0"/>
        <w:kinsoku/>
        <w:wordWrap/>
        <w:overflowPunct/>
        <w:topLinePunct w:val="0"/>
        <w:autoSpaceDE/>
        <w:autoSpaceDN/>
        <w:bidi w:val="0"/>
        <w:adjustRightInd w:val="0"/>
        <w:spacing w:line="300" w:lineRule="exact"/>
        <w:ind w:left="0" w:leftChars="0" w:firstLine="0" w:firstLineChars="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三水”慢直播平台是一个专业、稳定、高效的实时音视频内容采集、处理、分发与运营平台。它专注于7x24小时不间断的实时画面呈现，通过整合先进的流媒体技术，实现对多路视频源的统一管理、高质量转码、广域分发与多平台输出，为白龙湖风景名胜区提供“永不间断的窗口”，并具备完善的数据分析与运营管理能力。</w:t>
      </w:r>
    </w:p>
    <w:p>
      <w:pPr>
        <w:pStyle w:val="8"/>
        <w:pageBreakBefore w:val="0"/>
        <w:widowControl w:val="0"/>
        <w:kinsoku/>
        <w:wordWrap/>
        <w:overflowPunct/>
        <w:topLinePunct w:val="0"/>
        <w:autoSpaceDE/>
        <w:autoSpaceDN/>
        <w:bidi w:val="0"/>
        <w:adjustRightInd w:val="0"/>
        <w:spacing w:line="300" w:lineRule="exact"/>
        <w:ind w:left="0" w:leftChars="0" w:firstLine="0" w:firstLineChars="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三水”慢直播系统的核心目标是：以最低的资源和运维成本，将海量并发的实时音视频流稳定、流畅、低延迟地分发给大量在线观众。其核心架构包括：采集端、传输与接入层、云端处理与分发层、播放与交互层，各层详解如下：</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1）采集与编码层</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负责视频信号的采集和压缩。</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视频源：</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IP摄像头：最主流的来源，支持通过RTSP/RTMP等协议直接拉流。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专业编码器：将SDI/HDMI等传统摄像机信号转换为网络流。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手机/电脑：用于临时性或移动慢直播。</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编码标准：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H.264：最通用，兼容性最好，是慢直播的首选。</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H.265：在同等画质下可节省约50%带宽，但对计算资源要求更高，适合对带宽成本极度敏感的场景。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低码率编码：慢直播画面通常变化不大，可以采用更低的帧率和码率，进一步节约成本。</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2）传输与接入层</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负责将视频流稳定地推送到云端中心。</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推流协议：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RTMP：传统且稳定，延迟相对较低，是推流的首选协议。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SRT：在弱网环境下表现更优秀，能保证传输的可靠性。</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GB/T 28181：这是安防监控领域的国家标准协议。对于大量已部署的监控摄像头，系统必须支持通过GB28181协议进行平台级联接入，这是慢直播与普通直播一个巨大的区别。</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边缘推流：可以在摄像头侧或近场部署轻量级网关，负责协议转换和多路流聚合，再统一推送上云。</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3）云端处理与分发层—“系统的心脏”</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这是架构最核心的部分，负责流的处理、存储和分发。</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流媒体中心：</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源站：接收来自全国各地推流端的原始流。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流转码：虽然慢直播常使用原始流以节省成本，但对于需要多清晰度适配或水印添加的场景，会启动转码服务。</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流录制：按需对直播流进行录制，用于存档或生成回放视频。</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内容审核：对于开放的慢直播，可能需要接入AI审核服务，对画面进行实时违规内容检测。</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内容分发网络：</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这是应对海量并发的关键。将视频流缓存到遍布全国的边缘节点，用户可以从最近的节点获取数据，极大减轻源站压力，保证播放流畅。</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分发协议：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HLS：慢直播的绝对主力。虽然是切片协议，延迟稍高，但其基于HTTP的特性使其穿透性极好，非常适合高并发、容忍10-30秒延迟的慢直播场景。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FLV：基于HTTP-FLV，延迟可做到2-5秒，适合对实时性要求稍高的慢直播。</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WebRTC：用于需要极低延迟互动的“准慢直播”场景。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4）播放与交互层</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面向最终用户的部分。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播放端：</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Web端：通常使用 MSE 技术播放HLS或FLV流。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移动端App/小程序：集成播放器SDK，提供更好的兼容性和性能。</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电视/大屏：通过特定应用或投屏方式观看。</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交互功能：</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弹幕/评论：这是慢直播主要的互动形式，需要独立的评论系统，与视频流本身解耦。</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分享与拉流：生成分享链接，吸引更多观众。</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云台控制：在允许的情况下，授权用户可控制摄像头的转动和变焦。</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5）运营与运维支撑体系</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保障系统稳定运行和数据支撑。</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监控告警：对推流状态、CDN状态、服务器负载等进行实时监控。</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数据统计：统计在线人数、观看时长、地域分布等，生成数据报表。</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管理系统：提供直播流的创建、管理、上下架等操作后台。</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6）慢直播架构的关键技术特点</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高并发与低成本：</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核心依赖于CDN，利用其边缘节点分摊流量压力。</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普遍采用低码率、低帧率的H.264编码，并优先使用HLS协议，最大化利用HTTP缓存体系，降低单位流量成本。</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稳定性与高可用：</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推流端和源站之间支持热备和自动切换，防止单点故障。</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CDN本身具备多链路和负载均衡能力。</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易接入与标准化：</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对GB28181协议的完美支持，使得可以轻松接入海量现有的安防监控网络，这是业务能快速铺开的关键。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“轻处理”模式：</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与秀场直播的实时美颜、连麦、混流等复杂处理不同，慢直播的云端处理通常很“轻”，以转发和分发为核心，减少计算资源消耗。</w:t>
      </w:r>
    </w:p>
    <w:p>
      <w:pPr>
        <w:pStyle w:val="8"/>
        <w:pageBreakBefore w:val="0"/>
        <w:widowControl w:val="0"/>
        <w:kinsoku/>
        <w:wordWrap/>
        <w:overflowPunct/>
        <w:topLinePunct w:val="0"/>
        <w:autoSpaceDE/>
        <w:autoSpaceDN/>
        <w:bidi w:val="0"/>
        <w:adjustRightInd w:val="0"/>
        <w:spacing w:line="300" w:lineRule="exact"/>
        <w:ind w:left="0" w:leftChars="0" w:firstLine="0" w:firstLineChars="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2405" cy="1311275"/>
            <wp:effectExtent l="0" t="0" r="635" b="14605"/>
            <wp:docPr id="9" name="图片 9" descr="软件系统架构图20251217-三水慢直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软件系统架构图20251217-三水慢直播"/>
                    <pic:cNvPicPr>
                      <a:picLocks noChangeAspect="1"/>
                    </pic:cNvPicPr>
                  </pic:nvPicPr>
                  <pic:blipFill>
                    <a:blip r:embed="rId58"/>
                    <a:stretch>
                      <a:fillRect/>
                    </a:stretch>
                  </pic:blipFill>
                  <pic:spPr>
                    <a:xfrm>
                      <a:off x="0" y="0"/>
                      <a:ext cx="5272405" cy="1311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after="333" w:afterLines="100" w:line="300" w:lineRule="atLeas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图49 “三水”慢直播系统功能结构图</w:t>
      </w:r>
    </w:p>
    <w:p>
      <w:pPr>
        <w:pStyle w:val="9"/>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视频源接入与管理</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构建平台稳定运行的基石，确保视频信号的稳定、高质量接入。</w:t>
      </w:r>
    </w:p>
    <w:p>
      <w:pPr>
        <w:pStyle w:val="10"/>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设备管理</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摄像机/IPC在线管理：对接入的海量摄像头进行统一注册与管理，实时监控其在线/离线/推流状态，并支持远程配置分辨率、码率、帧率等关键参数。</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设备分组与权限：支持按地理区域、业务用途对设备进行灵活分组，并基于角色为不同管理员分配相应的设备查看与控制权限，实现分权分域管理。</w:t>
      </w:r>
    </w:p>
    <w:p>
      <w:pPr>
        <w:pStyle w:val="10"/>
        <w:keepNext w:val="0"/>
        <w:keepLines w:val="0"/>
        <w:pageBreakBefore w:val="0"/>
        <w:widowControl w:val="0"/>
        <w:kinsoku/>
        <w:wordWrap/>
        <w:overflowPunct/>
        <w:topLinePunct w:val="0"/>
        <w:autoSpaceDE/>
        <w:autoSpaceDN/>
        <w:bidi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视频采集</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多协议流媒体接入：全面支持RTSP、RTMP、GB/T28181等主流流媒体协议，能够从各种品牌的网络摄像机、编码器及视频平台中稳定拉取视频流。</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直播源质量诊断：对已接入的每路视频流进行实时质量监测，能自动诊断并告警信号中断、画面冻结、清晰度异常、绿屏等问题，保障信源质量。</w:t>
      </w:r>
    </w:p>
    <w:p>
      <w:pPr>
        <w:pStyle w:val="9"/>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流媒体服务：核心处理与分发引擎</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负责将原始视频流处理成适合互联网分发的形态，并高效送达用户。</w:t>
      </w:r>
    </w:p>
    <w:p>
      <w:pPr>
        <w:pStyle w:val="10"/>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流处理</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实时转码与转封装：将接入的原始视频流，实时转码成多种分辨率（如720P、1080P）和码率，以适应不同网络环境的用户。同时，将流转封装为HLS、FLV等适用于Web和移动端的标准格式。</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画面叠加与LOGO：支持在视频画面上叠加自定义图文信息，如景区名称、实时时间戳、当前天气、企业LOGO或宣传文字，增强品牌展示与信息传递。</w:t>
      </w:r>
    </w:p>
    <w:p>
      <w:pPr>
        <w:pStyle w:val="10"/>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流分发</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CDN内容分发：与CDN网络深度集成，将处理后的视频流推送至遍布全国的边缘节点，利用内容分发网络确保海量用户并发观看时依然流畅、稳定、低延迟。</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多路流同时输出：支持“一源多出”，可将同一路原始视频流，经处理后同时以不同的格式、分辨率和码率，并行推送到多个不同的平台或频道。</w:t>
      </w:r>
    </w:p>
    <w:p>
      <w:pPr>
        <w:pStyle w:val="9"/>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直播平台对接与运营</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提供灵活便捷的直播管理能力，并实现内容价值的最大化。</w:t>
      </w:r>
    </w:p>
    <w:p>
      <w:pPr>
        <w:pStyle w:val="10"/>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直播管理</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直播频道创建与管理：在平台内可轻松创建和管理直播频道，设置频道名称、封面图、简介等元数据，并灵活启用或禁用频道。</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一键开启/关闭直播：提供极简的操作界面，实现对指定视频源的一键推流上线或一键下线，降低运营操作门槛。</w:t>
      </w:r>
    </w:p>
    <w:p>
      <w:pPr>
        <w:pStyle w:val="10"/>
        <w:keepNext w:val="0"/>
        <w:keepLines w:val="0"/>
        <w:pageBreakBefore w:val="0"/>
        <w:widowControl w:val="0"/>
        <w:kinsoku/>
        <w:wordWrap/>
        <w:overflowPunct/>
        <w:topLinePunct w:val="0"/>
        <w:autoSpaceDE/>
        <w:autoSpaceDN/>
        <w:bidi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对外输出</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第三方平台推流：支持通过RTMP协议，将优质的慢直播内容一键推送至微信视频号、抖音、快手、B站等主流社交平台，扩大内容影响力。</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pacing w:val="-6"/>
          <w:sz w:val="24"/>
          <w:szCs w:val="24"/>
          <w:lang w:val="en-US" w:eastAsia="zh-CN"/>
        </w:rPr>
      </w:pPr>
      <w:r>
        <w:rPr>
          <w:rFonts w:hint="default" w:asciiTheme="minorAscii" w:hAnsiTheme="minorAscii" w:eastAsiaTheme="minorEastAsia" w:cstheme="minorEastAsia"/>
          <w:spacing w:val="-6"/>
          <w:sz w:val="24"/>
          <w:szCs w:val="24"/>
          <w:lang w:val="en-US" w:eastAsia="zh-CN"/>
        </w:rPr>
        <w:t>H5播放页生成与嵌入：为每个直播频道自动生成专属的H5播放页面和嵌入式代码，可轻松嵌入到企业官网、微信公众号、App等自有渠道，实现快速部署。</w:t>
      </w:r>
    </w:p>
    <w:p>
      <w:pPr>
        <w:pStyle w:val="9"/>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统计分析：数据驱动的运营与优化</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通过多维数据洞察，指导内容运营与系统优化。</w:t>
      </w:r>
    </w:p>
    <w:p>
      <w:pPr>
        <w:pStyle w:val="10"/>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运营数据</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实时在线人数统计：在后台实时展示全平台及各直播频道的当前在线观看人数，动态掌握直播热度。</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观看数据报表：统计各频道在指定时间段内的累计观看人数（UV）、总观看时长、峰值在线人数等核心指标，并生成可视化报表，用于评估内容价值。</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观看地域分布：以热力地图形式，可视化分析观看用户的地域来源分布，为市场推广和内容策划提供数据参考。</w:t>
      </w:r>
    </w:p>
    <w:p>
      <w:pPr>
        <w:pStyle w:val="10"/>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质量分析</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直播质量报表：从用户体验角度出发，统计各直播流的在线率、卡顿率、首屏加载时间、延迟等关键质量数据，为技术运维和网络优化提供量化依据。</w:t>
      </w:r>
    </w:p>
    <w:p>
      <w:pPr>
        <w:pStyle w:val="9"/>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互动与呈现：提升终端观看体验</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专注于为终端观众提供友好、便捷的观看与互动功能。</w:t>
      </w:r>
    </w:p>
    <w:p>
      <w:pPr>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播放器</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自适应多端播放器：提供适配PC浏览器和移动端（iOS/Android）的H5播放器，支持FLV、HLS格式，具备全屏、清晰度切换、音量控制等基本功能。</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时移与回看：支持直播时移功能，观众可在直播过程中暂停、后退；同时提供过去特定时段（如7天内）的直播录像回看功能，弥补错过精彩瞬间的遗憾。</w:t>
      </w:r>
    </w:p>
    <w:p>
      <w:pPr>
        <w:pStyle w:val="10"/>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互动功能</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直播封面与轮播图：为每个频道设置精美的封面图，并可在平台首页通过轮播图进行重点推荐，吸引用户点击观看。</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弹幕互动开关：管理员可根据直播内容性质，灵活控制全局或单个直播频道的弹幕功能开启与关闭，平衡互动性与内容严肃性。</w:t>
      </w:r>
    </w:p>
    <w:p>
      <w:pPr>
        <w:pStyle w:val="8"/>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平台管理：稳定安全的系统保障</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确保平台自身的安全、稳定与可维护性。</w:t>
      </w:r>
    </w:p>
    <w:p>
      <w:pPr>
        <w:pStyle w:val="9"/>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用户与权限</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后台用户角色管理：建立完善的用户体系，可分配超级管理员、频道运营员、只读审计员等不同角色，实现精细化的权限控制。</w:t>
      </w:r>
    </w:p>
    <w:p>
      <w:pPr>
        <w:pStyle w:val="9"/>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系统监控</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服务平台状态监控：对平台核心服务（如流媒体服务、转码集群）的运行状态、CPU/内存/带宽使用率进行7x24小时监控，及时发现并预警潜在风险。</w:t>
      </w:r>
    </w:p>
    <w:p>
      <w:pPr>
        <w:pStyle w:val="9"/>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日志与审计</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全平台操作日志：完整记录所有用户的关键操作日志，包括开播、关播、配置修改、用户登录等，满足内部审计与安全追溯要求。</w:t>
      </w:r>
    </w:p>
    <w:p>
      <w:pPr>
        <w:pStyle w:val="7"/>
        <w:pageBreakBefore w:val="0"/>
        <w:widowControl w:val="0"/>
        <w:kinsoku/>
        <w:wordWrap/>
        <w:overflowPunct/>
        <w:topLinePunct w:val="0"/>
        <w:autoSpaceDE/>
        <w:autoSpaceDN/>
        <w:bidi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全业务移动端</w:t>
      </w:r>
    </w:p>
    <w:p>
      <w:pPr>
        <w:pStyle w:val="8"/>
        <w:pageBreakBefore w:val="0"/>
        <w:widowControl w:val="0"/>
        <w:kinsoku/>
        <w:wordWrap/>
        <w:overflowPunct/>
        <w:topLinePunct w:val="0"/>
        <w:autoSpaceDE/>
        <w:autoSpaceDN/>
        <w:bidi w:val="0"/>
        <w:adjustRightInd w:val="0"/>
        <w:spacing w:line="300" w:lineRule="atLeast"/>
        <w:ind w:left="0" w:leftChars="0" w:firstLine="0" w:firstLineChars="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业务移动端是“多维协同系统”“指挥调度系统”“智慧管理系统”在移动场景下的延伸与核心载体，旨在打造一个“随时随地、触手可及”的移动指挥、协同与作业平台。它通过将PC端核心业务能力无缝延伸至智能手机、平板电脑或者其他搭载安卓、鸿蒙操作系统的便携式智能终端（如执法记录仪、4G/5G单兵手持机），实现待办集中处理、现场协同管控、移动办公审批、即时调度响应、知识随身查阅、资产快捷管理六大核心价值，彻底打破办公时空限制，赋能一线人员，全面提升业务响应速度与执行效率。</w:t>
      </w:r>
    </w:p>
    <w:p>
      <w:pPr>
        <w:pStyle w:val="8"/>
        <w:pageBreakBefore w:val="0"/>
        <w:widowControl w:val="0"/>
        <w:kinsoku/>
        <w:wordWrap/>
        <w:overflowPunct/>
        <w:topLinePunct w:val="0"/>
        <w:autoSpaceDE/>
        <w:autoSpaceDN/>
        <w:bidi w:val="0"/>
        <w:adjustRightInd w:val="0"/>
        <w:spacing w:line="300" w:lineRule="atLeast"/>
        <w:ind w:left="0" w:leftChars="0" w:firstLine="0" w:firstLineChars="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全业务移动端（App）系统架构由客户端架构和服务端架构两大部分组成，并辅以一系列支撑体系。</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客户端由表现层、业务层、网络层、数据持久层和原生能力组成。</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服务端由接入层、业务逻辑层、数据访问层、数据存储层和支撑平台组成。</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其运维与基础设施包括：持续集成/持续部署、容器化、监控、云服务/私有化部署。</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Ⅰ. 客户端架构</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1）表现层</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职责：负责UI的展示和用户交互。</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关键技术/模式：</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组件化：将UI拆分为可复用的组件（如按钮、列表项、弹窗），提高开发效率和一致性。</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导航路由：统一管理页面跳转逻辑，实现深链接、页面拦截等功能。</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MVVM / MVI / MVP：采用这些架构模式将UI与业务逻辑解耦。</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MVVM 是目前最流行的模式，通过数据绑定（如Jetpack Compose, SwiftUI）或双向绑定框架，使视图（View）自动响应视图模型（ViewModel）的状态变化。</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2）业务层</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职责：承载核心业务逻辑，是App的大脑。</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关键技术/模式：</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状态管理：集中管理应用的全局状态（如用户登录信息、主题）。</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依赖注入：管理类之间的依赖关系，提高代码的可测试性和可维护性Use Case / Interactor：在Clean Architecture中，Use Case封装了单个具体的业务操作，使业务逻辑更加清晰和独立。</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3）网络层</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职责：处理所有与服务端的通信。</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关键技术/模式：</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HTTP客户端：它们负责请求、响应、缓存等基础功能。</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请求封装与拦截：统一添加公共参数（如Token、版本号）、日志记录、请求加解密、错误统一处理。</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数据解析：将JSON数据自动序列化为模型对象。</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长连接：使用 WebSocket 或第三方推送服务（如Firebase、个推、极光）实现即时通讯和消息推送。</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4）数据持久层</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职责：负责本地数据的存储和读取。</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数据库：SQLite，配合ORM框架如 Room (Android), Core Data / Realm (iOS), Floor (Flutter) 简化操作。</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键值对存储：用于存储轻量数据，如用户配置、缓存。常用方案有 MMKV (高性能)、SharedPreferences (Android), UserDefaults (iOS), shared_preferences (Flutter)。</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文件存储：存储图片、视频、文档等大文件。</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5）原生能力层</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职责：封装和调用设备原生功能。</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pacing w:val="-6"/>
          <w:sz w:val="24"/>
          <w:szCs w:val="24"/>
          <w:lang w:val="en-US" w:eastAsia="zh-CN"/>
        </w:rPr>
      </w:pPr>
      <w:r>
        <w:rPr>
          <w:rFonts w:hint="default" w:asciiTheme="minorAscii" w:hAnsiTheme="minorAscii" w:eastAsiaTheme="minorEastAsia" w:cstheme="minorEastAsia"/>
          <w:sz w:val="24"/>
          <w:szCs w:val="24"/>
          <w:lang w:val="en-US" w:eastAsia="zh-CN"/>
        </w:rPr>
        <w:t>关键技术：</w:t>
      </w:r>
      <w:r>
        <w:rPr>
          <w:rFonts w:hint="default" w:asciiTheme="minorAscii" w:hAnsiTheme="minorAscii" w:eastAsiaTheme="minorEastAsia" w:cstheme="minorEastAsia"/>
          <w:spacing w:val="-6"/>
          <w:sz w:val="24"/>
          <w:szCs w:val="24"/>
          <w:lang w:val="en-US" w:eastAsia="zh-CN"/>
        </w:rPr>
        <w:t>通过原生模块或桥接调用相机、GPS、蓝牙、传感器、生物识别（指纹/面容）等。</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对于跨平台框架，通过插件机制来桥接原生代码。</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Ⅱ. 服务端架构</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服务端为移动端提供稳定、安全、高性能的数据和业务服务，通常采用微服务架构。</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1）接入层</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职责：作为流量的统一入口，是客户端与服务端内部服务之间的桥梁。</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关键技术/组件：</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API网关：所有客户端请求首先到达网关。它负责：</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路由转发：将请求路由到正确的后端服务。</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认证鉴权：验证Token/签名，确保请求合法。</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限流熔断：防止恶意请求和流量洪峰打垮后端服务。</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日志记录：记录访问日志用于审计和问题排查。</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协议转换：处理前后端可能存在的协议差异。</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2）业务逻辑层</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职责：实现具体的业务规则和逻辑。</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关键技术/模式：</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微服务：将复杂的单体应用拆分为一组小的、松耦合的服务。每个服务围绕一个业务能力构建，可以独立开发、部署和扩展。</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领域驱动设计：通过领域模型来指导微服务的划分和设计，保证业务逻辑的纯粹性。</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应用服务：对外提供粗粒度的API，协调多个领域服务完成一个完整的业务操作。</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3）数据访问层 &amp; 数据存储层</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职责：负责与各种数据源交互。</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ORM框架：如 ODBC，简化数据库操作。</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数据库：</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关系型数据库：OceanBase。用于存储需要事务一致性的核心数据。</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NoSQL数据库： Redis。</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Redis：常用作缓存，加速数据读取，也可用于分布式锁、会话存储等。</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搜索引擎：用于复杂的搜索和聚合分析场景。</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对象存储：阿里云OSS，AWS S3，用于存储用户生成的图片、视频等非结构化数据。</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4）支撑平台</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职责：为微服务体系的稳定运行提供通用技术能力。</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关键技术/组件：</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注册与发现中心：服务实例启动时向注册中心注册，客户端通过它来发现可用的服务实例。</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配置中心：实现配置信息的集中管理和动态刷新，无需重启服务。</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消息队列：用于异步处理、系统解耦和流量削峰（如下单后发送消息通知发货系统）。</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分布式链路追踪：用于追踪一个请求经过的所有服务，快速定位性能瓶颈和故障点。</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Ⅲ. 关键技术与跨平台考量</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1）跨平台技术选型</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原生开发：性能最佳，用户体验最好，能第一时间使用最新系统特性。</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2）安全与性能</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安全：HTTPS、请求签名、数据加密、代码混淆、反调试、定期安全扫描。</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性能：客户端图片懒加载、列表项复用、数据缓存；服务端CDN、缓存、数据库索引、SQL优化。</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3）运维与监控</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CI/CD：自动化构建、测试、打包和部署流程。</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容器化：使用Docker和Kubernetes实现服务的快速部署和弹性伸缩。</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4）监控：</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客户端：崩溃监控、网络请求成功率/耗时、页面渲染耗时、卡顿监控。</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服务端：应用性能监控、日志监控、基础设施（CPU、内存、磁盘）监控、业务指标监控。</w:t>
      </w:r>
    </w:p>
    <w:p>
      <w:pPr>
        <w:pStyle w:val="8"/>
        <w:pageBreakBefore w:val="0"/>
        <w:widowControl w:val="0"/>
        <w:kinsoku/>
        <w:wordWrap/>
        <w:overflowPunct/>
        <w:topLinePunct w:val="0"/>
        <w:autoSpaceDE/>
        <w:autoSpaceDN/>
        <w:bidi w:val="0"/>
        <w:adjustRightInd w:val="0"/>
        <w:spacing w:line="300" w:lineRule="atLeast"/>
        <w:ind w:left="0" w:leftChars="0" w:firstLine="0" w:firstLineChars="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2405" cy="2327910"/>
            <wp:effectExtent l="0" t="0" r="635" b="3810"/>
            <wp:docPr id="50" name="图片 50" descr="软件系统架构图2026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软件系统架构图20260412"/>
                    <pic:cNvPicPr>
                      <a:picLocks noChangeAspect="1"/>
                    </pic:cNvPicPr>
                  </pic:nvPicPr>
                  <pic:blipFill>
                    <a:blip r:embed="rId59"/>
                    <a:stretch>
                      <a:fillRect/>
                    </a:stretch>
                  </pic:blipFill>
                  <pic:spPr>
                    <a:xfrm>
                      <a:off x="0" y="0"/>
                      <a:ext cx="5272405" cy="2327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jc w:val="center"/>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图50 全业务移动端功能结构图</w:t>
      </w:r>
    </w:p>
    <w:p>
      <w:pPr>
        <w:pStyle w:val="9"/>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待办任务中心：统一的个人事务门户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作为用户移动办公的统一入口，实现所有待办任务的集中处理与消息的统一触达。</w:t>
      </w:r>
    </w:p>
    <w:p>
      <w:pPr>
        <w:pStyle w:val="10"/>
        <w:keepNext w:val="0"/>
        <w:keepLines w:val="0"/>
        <w:pageBreakBefore w:val="0"/>
        <w:widowControl w:val="0"/>
        <w:kinsoku/>
        <w:wordWrap/>
        <w:overflowPunct/>
        <w:topLinePunct w:val="0"/>
        <w:autoSpaceDE/>
        <w:autoSpaceDN/>
        <w:bidi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任务中心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智能待办聚合：自动汇聚来自流程审批、任务指令、预警消息等所有系统的待办事项，并以统一清单呈现。支持对同类任务进行一键批量处理，极大提升处理效率。</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消息中心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智能消息盒子：分类接收系统提醒、公告、流程流转通知等各类消息。支持关键词搜索历史消息，并提供 “一键全部已读”功能，帮助用户高效管理信息洪流。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通知公告管理：可随时查看公告列表、详情及附件，支持对重要公告进行收藏、转发，并对需要确认的公告进行在线回执。</w:t>
      </w:r>
    </w:p>
    <w:p>
      <w:pPr>
        <w:pStyle w:val="9"/>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协同管控：现场作业的数字化引擎</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将问题排查与任务管理的全流程搬至移动端，实现现场作业的闭环管理。</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问题排查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多源告警接入：与PC端同步，统一接收设备告警、上级指令、群众举报工单，并支持现场人员自查上报问题，实现问题来源的全覆盖。</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智能分诊与分类：接收系统智能预分类与指派的任务。若任务不属其管辖，可填写理由并在线退回，申请重新分配，确保权责清晰。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问题详情页：全面展示问题信息、来源、关联设备数据、历史处理记录及预计影响范围，为现场决策提供全景视图。</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任务创建与派发：可基于问题快速创建任务，并参考系统智能推荐的执行人。负责人可直接在移动端手动调整任务分配，实现灵活调度。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任务模板库：支持调用预置的标准化任务处理模板，规范一线人员的现场处置流程，保障作业质量。</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资源状态看板：可视化查看各团队/人员的实时任务负载，为现场人员进行协同互助或向上级请求资源支援提供决策依据。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调度指令下发：具备调度权限的用户，可向其他执行人员的移动端推送任务详情、导航信息、安全规范等指令。</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任务执行</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接收与处置：现场人员接收任务后，可实时上报文字进度，并上传现场照片、视频作为处置证据。关键环节支持电子签名确认，确保过程真实可溯。</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任务完成与归档</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处理结果上报与审核：执行人通过移动端提交包含图文证据的完成报告，管理者可直接在移动端进行在线审核。审核不通过可打回并注明原因。</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自动归档至知识库：审核通过后，关键处理过程与结果自动归档至知识库，移动端可立即查阅，促进经验共享。</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全周期跟踪</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任务流程可视化：以流程图形式实时展示任务从创建到关闭的全过程及当前状态，进度一目了然。</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超时与预警提醒：对临近截止或已超时的任务，自动向执行人与管理者的移动端推送提醒，督促任务按时完成。</w:t>
      </w:r>
    </w:p>
    <w:p>
      <w:pPr>
        <w:pStyle w:val="9"/>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综合管理：掌上的高效日程与资产管理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实现流程管理、日程管理、资产管理的全面移动化，保证工作不间断。</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流程管理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可视化流程引擎：移动端完整展示由PC端设计的复杂审批流程图，支持条件分支、并行审批等逻辑的展示与处理。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我的待办/已办：统一处理来自所有业务的流程审批任务，并可查看已办记录。</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流程监控与督办：管理员可在移动端全局监控流程进度，对停滞环节进行一键催办。</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日程管理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团队日程：可创建并分享团队日程，方便在移动端协调会议和资源，提升团队协作透明度。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日程提醒：支持应用内推送、短信等多种方式的移动端日程提醒。</w:t>
      </w:r>
    </w:p>
    <w:p>
      <w:pPr>
        <w:pStyle w:val="10"/>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资产管理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固定资产全生命周期管理：通过移动端扫描设备二维码，即可完成资产的申领、转移、维修、盘点、报废等全流程操作。</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易耗品库存管理：在移动端完成易耗品的入库、出库操作，并实时查看库存预警与统计信息。</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调度响应：前沿的指挥通讯能力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集成强大的通讯与调度功能，满足应急与日常指挥需求。</w:t>
      </w:r>
    </w:p>
    <w:p>
      <w:pPr>
        <w:pStyle w:val="9"/>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即时通讯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企业级即时通讯：提供安全的单聊、群聊功能，支持消息撤回、已读回执、@提及；可便捷发送图片、文件、实时位置。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通讯录与快速建群：集成组织架构，快速查找同事；支持根据任务、部门等属性快速创建临时会话群组。</w:t>
      </w:r>
    </w:p>
    <w:p>
      <w:pPr>
        <w:pStyle w:val="9"/>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指挥调度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实时音视频调度：可接收指挥中心发起的实时视频通话请求，参与远程会商。视频画面中可叠加位置、数据等增强信息，助力精准指挥。</w:t>
      </w:r>
    </w:p>
    <w:p>
      <w:pPr>
        <w:pStyle w:val="9"/>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现场处置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现场多媒体档案：统一管理所有任务相关的现场照片、视频、音频证据，支持按任务分类、打标、添加备注，形成结构化的现场档案。</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文档知识库与设备交接</w:t>
      </w:r>
    </w:p>
    <w:p>
      <w:pPr>
        <w:pStyle w:val="9"/>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知识应用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智能知识检索：支持对知识库内容进行全文检索，并可按文档类型、标签、部门等多维度进行筛选，让一线人员随时随地获取知识支持。</w:t>
      </w:r>
    </w:p>
    <w:p>
      <w:pPr>
        <w:pStyle w:val="9"/>
        <w:keepNext w:val="0"/>
        <w:keepLines w:val="0"/>
        <w:pageBreakBefore w:val="0"/>
        <w:widowControl w:val="0"/>
        <w:kinsoku/>
        <w:wordWrap/>
        <w:overflowPunct/>
        <w:topLinePunct w:val="0"/>
        <w:autoSpaceDE/>
        <w:autoSpaceDN/>
        <w:bidi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设备交接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设备全生命周期视图：通过扫码或搜索，即刻查看设备的全息档案，包括基本信息、使用记录、维修历史和当前状态。</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智能化交接流程：扫码即可发起设备交接，系统自动带出设备信息与预置的检查清单。交接双方完成检查后，在线完成电子签名确认，流程规范无纸化。</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交接记录统计：可按设备、人员、时间等条件查询所有历史交接记录，并支持导出报表，便于管理与审计。</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个人中心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个性化设置：支持个人资料修改、密码重置、界面主题等部分个性化自定义功能。</w:t>
      </w:r>
    </w:p>
    <w:p>
      <w:pPr>
        <w:pStyle w:val="5"/>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运维系统</w:t>
      </w:r>
    </w:p>
    <w:p>
      <w:pPr>
        <w:pStyle w:val="7"/>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系统概述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维系统是保障整个“三水一体协同管控体系”风险源监测与环境应急平台稳定、高效运行的“数字守护者”。它通过构建集中监控、智能巡检、高效维修、规范升级于一体的综合性运维管理平台，实现对IT基础设施、物联网设备及业务应用的全生命周期精细化管控。其核心目标是从事后补救转向事前预防，从被动响应转向主动运维，最终提升系统整体可用性、降低运营成本、优化资源利用率。</w:t>
      </w:r>
    </w:p>
    <w:p>
      <w:pPr>
        <w:pStyle w:val="7"/>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系统架构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运维系统架构基于从手工到自动化、从被动到主动、从资源导向到应用导向、从运维到DevOps/SRE，分为四个横向层次和三个纵向支撑体系，其核心是 CI/CD流水线。分层架构详解如下：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1）统一接入与基础设施层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这是运维体系管理的对象和触手。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基础设施：包括物理机、虚拟机、容器、网络设备、中间件、数据库等所有需要被管理的资源。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运维通道：安全、统一的网络通道，如堡垒机（用于运维操作审计）、VPN（用于远程接入）。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管控Agent：安装在目标机器上的轻量级程序，用于执行指令、采集数据。例如：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监控Agent：Prometheus Node Exporter, Telegraf</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日志Agent：Filebeat, Fluentd</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部署Agent：Ansible无需Agent，但有些系统会有自己的Agent。</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2）运维核心能力层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这是运维体系的“执行机构”，包含了所有关键的运维工具和平台。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资源管理：</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CMDB：运维体系的“基石”，存储和管理所有IT资产的配置项及其关系。它是自动化、监控、告警等系统的数据来源。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云管平台：统一管理多云、混合云资源，实现资源的申请、交付、生命周期管理和成本优化。</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持续集成与部署：DevOps的核心引擎。</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CI：通过Jenkins, GitLab CI等工具，自动完成代码编译、构建、单元测试和制品打包。</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CD：通过自动化部署工具，将制品安全、可靠地发布到各种环境，并支持蓝绿、金丝雀等部署策略。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监控可观测性：运维体系的“眼睛和耳朵”。现代监控已从简单的资源监控发展为可观测性。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指标：监控系统的量化数据，如CPU使用率、QPS。</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日志：记录系统事件的文本数据。。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链路追踪：追踪一个请求在分布式系统中的完整路径。</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应用性能监控：从代码层面分析应用性能瓶颈。</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用户体验监控：从真实用户端监控页面加载时间、操作流畅度等。</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自动化运维：</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配置管理：实现服务器的批量、标准化配置。</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作业平台：提供Web界面，用于执行临时性的批量脚本或任务。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巡检平台：定期自动对系统进行健康检查。</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高可用与安全：</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负载均衡、弹性伸缩、备份容灾等保障业务连续性的技术。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安全合规扫描：集成安全工具，在CI/CD流程中或对线上环境进行自动安全扫描。</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3）运维数据与智能层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这是运维体系的“大脑”，负责从海量数据中提炼价值。</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运维数据中台：汇聚所有监控指标、日志、链路数据，形成统一的运维数据视图。</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AIOps平台：利用大数据和机器学习算法，实现：</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智能告警：告警压缩、降噪、关联，减少误报和告警风暴。</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异常检测：自动发现指标异常，实现故障预警。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根因分析：在故障发生时，快速定位问题根源。</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容量预测：基于历史数据预测未来资源需求。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4）统一门户与协同层</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这是运维体系对外的“窗口”，连接人、流程和工具。</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运维门户/DevOps平台：为开发者和运维人员提供统一的入口，可以查看监控、申请资源、执行发布、处理告警。</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告警中心：将所有告警信息在此聚合，并按照预设的排班、升级策略，通过钉钉、短信、电话等方式通知到责任人。</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知识库：积累运维经验、故障复盘、SOP，形成组织的知识资产。</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5）垂直支撑体系</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流程体系：将ITIL、DevOps等最佳实践落地为平台中的电子流程，如变更管理、事件管理流程。</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组织与规范：明确SRE、运维、开发的职责，制定资源命名、标签等规范。</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平台安全：确保运维平台自身的安全，如权限控制、操作审计。</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6）关键技术</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GitOps：以Git作为基础设施和应用部署的唯一事实来源，实现声明式的自动化部署，是CI/CD的演进。</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云原生运维：运维体系完全构建在Kubernetes和容器技术之上，服务网格成为基础设施。</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可观测性：超越传统监控，强调通过数据（指标、日志、链路）主动探索和发现未知问题。</w:t>
      </w:r>
    </w:p>
    <w:p>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一切即代码：基础设施即代码，策略即代码，将运维工作完全代码化、版本化。</w:t>
      </w:r>
    </w:p>
    <w:p>
      <w:pPr>
        <w:pStyle w:val="7"/>
        <w:pageBreakBefore w:val="0"/>
        <w:widowControl w:val="0"/>
        <w:kinsoku/>
        <w:wordWrap/>
        <w:overflowPunct/>
        <w:topLinePunct w:val="0"/>
        <w:autoSpaceDE/>
        <w:autoSpaceDN/>
        <w:bidi w:val="0"/>
        <w:adjustRightInd w:val="0"/>
        <w:spacing w:line="300" w:lineRule="exact"/>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系统功能</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drawing>
          <wp:inline distT="0" distB="0" distL="114300" distR="114300">
            <wp:extent cx="5275580" cy="1791970"/>
            <wp:effectExtent l="0" t="0" r="12700" b="6350"/>
            <wp:docPr id="33" name="图片 33" descr="软件系统架构图-运维系统2025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软件系统架构图-运维系统20251116"/>
                    <pic:cNvPicPr>
                      <a:picLocks noChangeAspect="1"/>
                    </pic:cNvPicPr>
                  </pic:nvPicPr>
                  <pic:blipFill>
                    <a:blip r:embed="rId60"/>
                    <a:stretch>
                      <a:fillRect/>
                    </a:stretch>
                  </pic:blipFill>
                  <pic:spPr>
                    <a:xfrm>
                      <a:off x="0" y="0"/>
                      <a:ext cx="5275580" cy="17919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67" w:beforeLines="50" w:after="333" w:afterLines="100" w:line="300" w:lineRule="exact"/>
        <w:ind w:left="0" w:leftChars="0" w:firstLine="0" w:firstLineChars="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b/>
          <w:bCs/>
          <w:sz w:val="24"/>
          <w:szCs w:val="24"/>
          <w:lang w:val="en-US" w:eastAsia="zh-CN"/>
        </w:rPr>
        <w:t>图51 运维系统功能结构图</w:t>
      </w:r>
    </w:p>
    <w:p>
      <w:pPr>
        <w:pStyle w:val="8"/>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设备监控：全天候的态势感知与预警</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建立覆盖全域的监控体系，实时掌握设备健康状态，防患于未然。</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设备运行状态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设备资产档案：建立完整的设备电子履历，记录设备型号、序列号、IP地址、物理位置、供应商、负责人等全量信息，实现资产可视化管理。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全局状态总览：通过运维可视化大屏，动态呈现所有设备的整体在线率、健康度评分、实时告警统计等核心KPI，一目了然掌握全局态势。</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实时性能监控：持续采集并展示设备的CPU使用率、内存占用、磁盘空间、网络流量及关键业务指标，实现性能的精细化洞察。</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设备异常告警</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多源告警汇聚：统一接收并整合来自网络设备、服务器、物联网传感器、业务应用等不同源的告警事件，并进行标准化处理。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智</w:t>
      </w:r>
      <w:r>
        <w:rPr>
          <w:rFonts w:hint="default" w:asciiTheme="minorAscii" w:hAnsiTheme="minorAscii" w:eastAsiaTheme="minorEastAsia" w:cstheme="minorEastAsia"/>
          <w:spacing w:val="-6"/>
          <w:sz w:val="24"/>
          <w:szCs w:val="24"/>
          <w:lang w:val="en-US" w:eastAsia="zh-CN"/>
        </w:rPr>
        <w:t>能告警降噪：运用规则压缩、事件关联、根因分析等AIOps技术，自动压缩重复告警、关联衍生事件，精准定位根本原因，有效提升告警质量，减少干扰。</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多通道告警通知：根据告警的紧急程度，通过站内信、短信、邮件、语音电话等多种渠道，第一时间通知相关运维责任人，确保信息及时触达。</w:t>
      </w:r>
    </w:p>
    <w:p>
      <w:pPr>
        <w:pStyle w:val="9"/>
        <w:keepNext w:val="0"/>
        <w:keepLines w:val="0"/>
        <w:pageBreakBefore w:val="0"/>
        <w:widowControl w:val="0"/>
        <w:kinsoku/>
        <w:wordWrap/>
        <w:overflowPunct/>
        <w:topLinePunct w:val="0"/>
        <w:autoSpaceDE/>
        <w:autoSpaceDN/>
        <w:bidi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预警阈值管理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阈值模板库：提供针对不同品牌、类型设备的预置监控阈值模板，支持批量应用，实现监控策略的快速部署。</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动态自适应阈值：基于机器学习算法，自动学习并建立各性能指标的历史动态基线，生成随时间变化的智能阈值，有效识别异常波动，减少因固定阈值带来的误报与漏报。</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设备生命周期跟踪</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生命周期看板：以可视化看板形式，清晰展示设备从采购入库、部署上线、在线运行、维护维修到报废退运的全生命周期各阶段状态。</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资产生命周期报表：自动生成与设备生命周期相关的多维度分析报表，包括设备折旧情况、历史维保成本、平均故障间隔时间（MTBF）等，为资产决策提供数据支持。</w:t>
      </w:r>
    </w:p>
    <w:p>
      <w:pPr>
        <w:pStyle w:val="8"/>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设备巡检：规范化的预防性维护</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将传统线下巡检流程数字化、标准化，确保巡检工作的质量和效率。</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巡检计划</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巡检模板定义：可定义标准化的巡检模板，明确每个设备的巡检项目、具体步骤、正常参数范围及判定标准。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灵活计划调度：支持按日、周、月等周期灵活制定巡检计划，并可指定具体的执行人员或责任班组。</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巡检记录</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移动端巡检执行：运维人员通过手机APP接收并执行巡检任务，现场拍照取证、录入数据、选择状态，并最终进行电子签名确认，确保过程真实可信。</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巡检结果自动分析：系统自动比对现场采集数据与预设标准值，快速标识出异常项，并可根据规则自动触发维修工单，实现从巡检到维修的无缝衔接。</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巡检历史与追溯：完整记录每次巡检的全过程数据，支持历史记录的快速查询、比对与趋势分析，为设备状态评估提供依据。</w:t>
      </w:r>
    </w:p>
    <w:p>
      <w:pPr>
        <w:pStyle w:val="8"/>
        <w:keepNext w:val="0"/>
        <w:keepLines w:val="0"/>
        <w:pageBreakBefore w:val="0"/>
        <w:widowControl w:val="0"/>
        <w:kinsoku/>
        <w:wordWrap/>
        <w:overflowPunct/>
        <w:topLinePunct w:val="0"/>
        <w:autoSpaceDE/>
        <w:autoSpaceDN/>
        <w:bidi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设备维修：高效协同的故障处置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构建从故障上报到闭环分析的线上化维修管理体系。</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我要报修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一键快速报修：用户可通过PC端或移动端便捷提交报修申请，详细描述故障现象，并可上传现场图片或视频，辅助故障诊断。</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报修受理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能工单分派：系统根据设备类型、故障描述、地理位置及技能要求等信息，智能推荐或自动分派给最合适的维修人员，提升派单效率。</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工单流程管理：对维修工单进行全状态跟踪，包括接单、处理中、等待备件、挂起、完成、用户验收等，确保流程规范、进度可视。</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维修记录</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维修知识库：将处理完毕的典型故障案例沉淀至知识库，包含现象、原因与解决方案，形成组织智慧，赋能后续维修工作，提升解决效率。</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维修成本统计：精确统计每次维修的人工工时、更换备件等成本，并与设备、供应商信息关联，生成多维成本分析报表，助力成本控制。</w:t>
      </w:r>
    </w:p>
    <w:p>
      <w:pPr>
        <w:pStyle w:val="8"/>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软件版本升级：标准化的发布管理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实现软件版本的可控、可追溯。</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版本管理</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版本仓库：建立统一的软件版本仓库，集中管理各类设备的固件、驱动程序、应用软件的所有历史版本及发布说明。</w:t>
      </w:r>
    </w:p>
    <w:p>
      <w:pPr>
        <w:pStyle w:val="8"/>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统计分析：数据驱动的运维决策</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通过多维度数据挖掘与分析，持续优化运维体系。</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综合报表</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自定义报表设计器：提供自定义报表功能，用户可自由选择分析维度和指标，灵活构建符合自身管理需求的统计分析报表。</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核心KPI dashboard：预置运维核心绩效指标看板，如平均修复时间（MTTR）、平均无故障时间（MTBF）、设备可用率、工单满意度等，直观衡量运维水平。</w:t>
      </w:r>
    </w:p>
    <w:p>
      <w:pPr>
        <w:pStyle w:val="9"/>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数据导出</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报表数据导出：支持将各类统计报表和查询结果导出为Excel、PDF等常用格式，便于线下汇报、存档与进一步分析。</w:t>
      </w:r>
    </w:p>
    <w:p>
      <w:pPr>
        <w:pStyle w:val="5"/>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“低空运行一体化监管服务系统”对接</w:t>
      </w:r>
    </w:p>
    <w:p>
      <w:pPr>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低空运行一体化监管服务系统中的“外部系统对接”模块，主要负责与外部飞控中心进行数据交互与业务联动。具体包括以下三项接口服务：</w:t>
      </w:r>
    </w:p>
    <w:p>
      <w:pPr>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航线同步接口服务：接收系统内部的航线数据及相关KMZ文件，将其封装为multipart/form-data格式后，调用外部系统的 /api/route/external/upload 接口，并完整记录请求与响应的结果。</w:t>
      </w:r>
    </w:p>
    <w:p>
      <w:pPr>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飞行授权上报接口服务：将系统内部的飞行任务数据封装为JSON格式，通过调用外部系统的 /api/route/external/wayline/flight/authorize 接口进行上报，同时记录每次上报的状态。</w:t>
      </w:r>
    </w:p>
    <w:p>
      <w:pPr>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无人机状态MQTT订阅服务：负责配置并维护与外部系统的MQTT连接，订阅主题 thing/product/{device_sn}/osd_outer，实时接收并解析无人机状态的JSON数据。</w:t>
      </w:r>
    </w:p>
    <w:p>
      <w:pPr>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在“数据管理”方面，系统通过“对接数据存储”功能，完整记录所有外部接口调用的详细日志，包括请求参数、响应内容、外部系统返回的ID（如wayline_id）、时间戳及执行状态。</w:t>
      </w:r>
    </w:p>
    <w:p>
      <w:pPr>
        <w:pageBreakBefore w:val="0"/>
        <w:widowControl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同时，“接口配置管理”部分提供对外部系统连接配置的集中管理，包括HTTP服务地址、MQTT Broker地址、端口、认证信息及超时设置等。该模块还提供接口连通性状态监控看板，展示各接口最近调用状态、最后成功/失败时间及基础成功率统计。此外，系统支持“外部ID映射查询服务”，用户可通过内部任务ID或航线ID查询对应的外部系统ID及数据同步状态。</w:t>
      </w:r>
    </w:p>
    <w:p>
      <w:pPr>
        <w:pStyle w:val="5"/>
        <w:pageBreakBefore w:val="0"/>
        <w:kinsoku/>
        <w:wordWrap/>
        <w:overflowPunct/>
        <w:topLinePunct w:val="0"/>
        <w:autoSpaceDE/>
        <w:autoSpaceDN/>
        <w:bidi w:val="0"/>
        <w:spacing w:line="300" w:lineRule="atLeas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“广元新型智慧城市”对接</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数据中台模块包括物联感知数据接入、共享数据治理和接口服务三个部分，主要负责汇聚、处理和多端分发各类环境与事件数据。</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在物联感知数据接入中，系统将对接水环境数据（包括PH、溶解氧等水质指标，以及流量、水位等水文数据，明确其范围、频率与API/库表等接入方式）、生态环境数据（如空气质量、气象预警数据，并与时空信息关联），并统一接入来自视频融合平台的实时视频流（RTSP/RTMP格式，覆盖湖泊监控及重点区域）。同时，系统还会接收并处理人车检测、异常行为（闯入、聚集）及漂浮物识别等智能识别事件的结构化告警数据。</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共享数据治理方面，系统对以上多源数据（物联、视频、空间数据）进行清洗、转换与标准化，构建统一的时空数据模型。同时，通过数据质量监控与报告机制，持续监测数据的完整性、时效性和准确性。</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接口服务包括三大类：</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公众服务接口：通过预警信息发布接口，向APP推送包括水质、气象、客流在内的各类公共预警信息。</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事件协同处置接口：通过跨部门事件上报接口，将本系统无法处置的重大污染、安全事故等应急事件标准化后推送至12345系统生成工单；并通过处置过程同步接口，接收12345系统返回的工单号与处置状态（分拨、处置中、办结），及时更新本系统事件状态。同时，系统会存储本系统事件ID与12345工单ID的映射关系、上报内容及状态同步记录。</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大屏组件封装接口：为可视化展示提供景区核心态势指标接口（游客量、环境指数、事件总数、处置率等）、地理信息可视化数据接口（以GeoJSON等格式提供事件分布、监测点状态、热力图等空间数据）、实时视频流/图片快照接口（提供指定监控点位的视频流或图片URL），以及事件列表滚动接口（提供最新或最紧急的事件列表，支持大屏滚动展示）。</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此外，系统还设有对接配置管理功能，用于统一管理所有外部系统（物联、视频、12345、大屏等）的连接参数（地址、密钥、协议），并监控各数据与服务接口的调用状态、延迟和成功率，在出现异常时及时告警。</w:t>
      </w:r>
    </w:p>
    <w:p>
      <w:pPr>
        <w:pStyle w:val="5"/>
        <w:pageBreakBefore w:val="0"/>
        <w:kinsoku/>
        <w:wordWrap/>
        <w:overflowPunct/>
        <w:topLinePunct w:val="0"/>
        <w:autoSpaceDE/>
        <w:autoSpaceDN/>
        <w:bidi w:val="0"/>
        <w:spacing w:line="300" w:lineRule="atLeast"/>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广元市生态环境局相关系统对接</w:t>
      </w:r>
    </w:p>
    <w:p>
      <w:pPr>
        <w:keepNext w:val="0"/>
        <w:keepLines w:val="0"/>
        <w:pageBreakBefore w:val="0"/>
        <w:widowControl w:val="0"/>
        <w:kinsoku/>
        <w:wordWrap/>
        <w:overflowPunct/>
        <w:topLinePunct w:val="0"/>
        <w:autoSpaceDE/>
        <w:autoSpaceDN/>
        <w:bidi w:val="0"/>
        <w:adjustRightInd w:val="0"/>
        <w:snapToGrid w:val="0"/>
        <w:spacing w:line="300" w:lineRule="atLeas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配合广元市生态环境局加强白龙湖风景名胜区生态环境保护，以及嘉陵江上游生态屏障建设等相关需要，与生态环境局的相关系统通过合适的方式对接（比如前置机数据共享），共享白龙湖风景名胜区“三水”协同管控的数据资源和事件管理能力，进一步提升各职能部门管湖治湖护湖的成效。软件定制开发期间，研发团队应与本项目建设单位和广元市生态环境局作充分的沟通，落实市白龙湖管理局、市生态环境局共同确认的对接方案和代码呈现效果。</w:t>
      </w:r>
    </w:p>
    <w:p>
      <w:pPr>
        <w:pStyle w:val="5"/>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系统接口设计</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为确保平台各系统间数据畅通、业务协同，本设计遵循标准化、松耦合、高内聚的原则，以</w:t>
      </w:r>
      <w:r>
        <w:rPr>
          <w:rFonts w:hint="default" w:asciiTheme="minorAscii" w:hAnsiTheme="minorAscii" w:eastAsiaTheme="minorEastAsia" w:cstheme="minorEastAsia"/>
          <w:sz w:val="24"/>
          <w:szCs w:val="24"/>
          <w:lang w:val="en-US" w:eastAsia="zh-CN"/>
        </w:rPr>
        <w:t>物联网基础支撑</w:t>
      </w:r>
      <w:r>
        <w:rPr>
          <w:rFonts w:hint="default" w:asciiTheme="minorAscii" w:hAnsiTheme="minorAscii" w:eastAsiaTheme="minorEastAsia" w:cstheme="minorEastAsia"/>
          <w:sz w:val="24"/>
          <w:szCs w:val="24"/>
        </w:rPr>
        <w:t>系统为统一的接口管理与服务枢纽，构建平台的内外接口体系。</w:t>
      </w:r>
    </w:p>
    <w:p>
      <w:pPr>
        <w:pStyle w:val="7"/>
        <w:pageBreakBefore w:val="0"/>
        <w:kinsoku/>
        <w:wordWrap/>
        <w:overflowPunct/>
        <w:topLinePunct w:val="0"/>
        <w:autoSpaceDE/>
        <w:autoSpaceDN/>
        <w:bidi w:val="0"/>
        <w:adjustRightInd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 xml:space="preserve"> 设计原则</w:t>
      </w:r>
    </w:p>
    <w:p>
      <w:pPr>
        <w:keepNext w:val="0"/>
        <w:keepLines w:val="0"/>
        <w:pageBreakBefore w:val="0"/>
        <w:widowControl w:val="0"/>
        <w:numPr>
          <w:ilvl w:val="0"/>
          <w:numId w:val="33"/>
        </w:numPr>
        <w:kinsoku/>
        <w:wordWrap/>
        <w:overflowPunct/>
        <w:topLinePunct w:val="0"/>
        <w:autoSpaceDE/>
        <w:autoSpaceDN/>
        <w:bidi w:val="0"/>
        <w:adjustRightInd w:val="0"/>
        <w:snapToGrid w:val="0"/>
        <w:spacing w:line="300" w:lineRule="exact"/>
        <w:ind w:left="0" w:leftChars="0" w:firstLine="481"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标准化原则：</w:t>
      </w:r>
      <w:r>
        <w:rPr>
          <w:rFonts w:hint="default" w:asciiTheme="minorAscii" w:hAnsiTheme="minorAscii" w:eastAsiaTheme="minorEastAsia" w:cstheme="minorEastAsia"/>
          <w:sz w:val="24"/>
          <w:szCs w:val="24"/>
        </w:rPr>
        <w:t>内部接口优先采用 RESTful API，数据格式统一为 JSON，确保接口的规范性和易用性。</w:t>
      </w:r>
    </w:p>
    <w:p>
      <w:pPr>
        <w:keepNext w:val="0"/>
        <w:keepLines w:val="0"/>
        <w:pageBreakBefore w:val="0"/>
        <w:widowControl w:val="0"/>
        <w:numPr>
          <w:ilvl w:val="0"/>
          <w:numId w:val="33"/>
        </w:numPr>
        <w:kinsoku/>
        <w:wordWrap/>
        <w:overflowPunct/>
        <w:topLinePunct w:val="0"/>
        <w:autoSpaceDE/>
        <w:autoSpaceDN/>
        <w:bidi w:val="0"/>
        <w:adjustRightInd w:val="0"/>
        <w:snapToGrid w:val="0"/>
        <w:spacing w:line="300" w:lineRule="exact"/>
        <w:ind w:left="0" w:leftChars="0" w:firstLine="481"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安全性原则：</w:t>
      </w:r>
      <w:r>
        <w:rPr>
          <w:rFonts w:hint="default" w:asciiTheme="minorAscii" w:hAnsiTheme="minorAscii" w:eastAsiaTheme="minorEastAsia" w:cstheme="minorEastAsia"/>
          <w:sz w:val="24"/>
          <w:szCs w:val="24"/>
        </w:rPr>
        <w:t>所有接口访问必须通过身份认证与授权鉴权，敏感数据传输全程使用 HTTPS 加密。</w:t>
      </w:r>
    </w:p>
    <w:p>
      <w:pPr>
        <w:keepNext w:val="0"/>
        <w:keepLines w:val="0"/>
        <w:pageBreakBefore w:val="0"/>
        <w:widowControl w:val="0"/>
        <w:numPr>
          <w:ilvl w:val="0"/>
          <w:numId w:val="33"/>
        </w:numPr>
        <w:kinsoku/>
        <w:wordWrap/>
        <w:overflowPunct/>
        <w:topLinePunct w:val="0"/>
        <w:autoSpaceDE/>
        <w:autoSpaceDN/>
        <w:bidi w:val="0"/>
        <w:adjustRightInd w:val="0"/>
        <w:snapToGrid w:val="0"/>
        <w:spacing w:line="300" w:lineRule="exact"/>
        <w:ind w:left="0" w:leftChars="0" w:firstLine="481"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可管理性原则：</w:t>
      </w:r>
      <w:r>
        <w:rPr>
          <w:rFonts w:hint="default" w:asciiTheme="minorAscii" w:hAnsiTheme="minorAscii" w:eastAsiaTheme="minorEastAsia" w:cstheme="minorEastAsia"/>
          <w:sz w:val="24"/>
          <w:szCs w:val="24"/>
        </w:rPr>
        <w:t>所有接口在</w:t>
      </w:r>
      <w:r>
        <w:rPr>
          <w:rFonts w:hint="default" w:asciiTheme="minorAscii" w:hAnsiTheme="minorAscii" w:eastAsiaTheme="minorEastAsia" w:cstheme="minorEastAsia"/>
          <w:sz w:val="24"/>
          <w:szCs w:val="24"/>
          <w:lang w:val="en-US" w:eastAsia="zh-CN"/>
        </w:rPr>
        <w:t>物联网支撑系统</w:t>
      </w:r>
      <w:r>
        <w:rPr>
          <w:rFonts w:hint="default" w:asciiTheme="minorAscii" w:hAnsiTheme="minorAscii" w:eastAsiaTheme="minorEastAsia" w:cstheme="minorEastAsia"/>
          <w:sz w:val="24"/>
          <w:szCs w:val="24"/>
        </w:rPr>
        <w:t>的API网关注册，实现统一的监控、流控、日志和生命周期管理。</w:t>
      </w:r>
    </w:p>
    <w:p>
      <w:pPr>
        <w:keepNext w:val="0"/>
        <w:keepLines w:val="0"/>
        <w:pageBreakBefore w:val="0"/>
        <w:widowControl w:val="0"/>
        <w:numPr>
          <w:ilvl w:val="0"/>
          <w:numId w:val="33"/>
        </w:numPr>
        <w:kinsoku/>
        <w:wordWrap/>
        <w:overflowPunct/>
        <w:topLinePunct w:val="0"/>
        <w:autoSpaceDE/>
        <w:autoSpaceDN/>
        <w:bidi w:val="0"/>
        <w:adjustRightInd w:val="0"/>
        <w:snapToGrid w:val="0"/>
        <w:spacing w:line="300" w:lineRule="exact"/>
        <w:ind w:left="0" w:leftChars="0" w:firstLine="481"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高性能原则：</w:t>
      </w:r>
      <w:r>
        <w:rPr>
          <w:rFonts w:hint="default" w:asciiTheme="minorAscii" w:hAnsiTheme="minorAscii" w:eastAsiaTheme="minorEastAsia" w:cstheme="minorEastAsia"/>
          <w:sz w:val="24"/>
          <w:szCs w:val="24"/>
        </w:rPr>
        <w:t>针对高频数据（如物联网数据）采用消息队列进行异步处理，保障系统核心业务的响应效率。</w:t>
      </w:r>
    </w:p>
    <w:p>
      <w:pPr>
        <w:pStyle w:val="7"/>
        <w:pageBreakBefore w:val="0"/>
        <w:kinsoku/>
        <w:wordWrap/>
        <w:overflowPunct/>
        <w:topLinePunct w:val="0"/>
        <w:autoSpaceDE/>
        <w:autoSpaceDN/>
        <w:bidi w:val="0"/>
        <w:adjustRightInd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 xml:space="preserve"> 接口安全与管理设计</w:t>
      </w:r>
    </w:p>
    <w:p>
      <w:pPr>
        <w:pStyle w:val="27"/>
        <w:keepNext w:val="0"/>
        <w:keepLines w:val="0"/>
        <w:pageBreakBefore w:val="0"/>
        <w:widowControl/>
        <w:numPr>
          <w:ilvl w:val="0"/>
          <w:numId w:val="34"/>
        </w:numPr>
        <w:shd w:val="clear" w:color="auto" w:fill="FFFFFF"/>
        <w:kinsoku/>
        <w:wordWrap/>
        <w:overflowPunct/>
        <w:topLinePunct w:val="0"/>
        <w:autoSpaceDE/>
        <w:autoSpaceDN/>
        <w:bidi w:val="0"/>
        <w:adjustRightInd w:val="0"/>
        <w:snapToGrid/>
        <w:spacing w:after="120" w:afterAutospacing="0" w:line="300" w:lineRule="exact"/>
        <w:ind w:left="0" w:leftChars="0" w:firstLine="482" w:firstLineChars="0"/>
        <w:jc w:val="left"/>
        <w:textAlignment w:val="auto"/>
        <w:rPr>
          <w:rFonts w:hint="default" w:asciiTheme="minorAscii" w:hAnsiTheme="minorAscii" w:eastAsiaTheme="minorEastAsia" w:cstheme="minorEastAsia"/>
          <w:b/>
          <w:bCs/>
          <w:color w:val="0F1115"/>
          <w:sz w:val="24"/>
          <w:szCs w:val="24"/>
        </w:rPr>
      </w:pPr>
      <w:r>
        <w:rPr>
          <w:rFonts w:hint="default" w:asciiTheme="minorAscii" w:hAnsiTheme="minorAscii" w:eastAsiaTheme="minorEastAsia" w:cstheme="minorEastAsia"/>
          <w:b/>
          <w:bCs/>
          <w:color w:val="0F1115"/>
          <w:sz w:val="24"/>
          <w:szCs w:val="24"/>
        </w:rPr>
        <w:t>认证与鉴权：</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采用OAuth 2.0客户端凭证模式，为每个调用方分配App Key和App Secret。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物联网支撑系统</w:t>
      </w:r>
      <w:r>
        <w:rPr>
          <w:rFonts w:hint="default" w:asciiTheme="minorAscii" w:hAnsiTheme="minorAscii" w:eastAsiaTheme="minorEastAsia" w:cstheme="minorEastAsia"/>
          <w:sz w:val="24"/>
          <w:szCs w:val="24"/>
        </w:rPr>
        <w:t>的API网关负责令牌的颁发与验证，所有请求必须携带有效的 Access Token。</w:t>
      </w:r>
    </w:p>
    <w:p>
      <w:pPr>
        <w:keepNext w:val="0"/>
        <w:keepLines w:val="0"/>
        <w:pageBreakBefore w:val="0"/>
        <w:widowControl w:val="0"/>
        <w:numPr>
          <w:ilvl w:val="0"/>
          <w:numId w:val="34"/>
        </w:numPr>
        <w:kinsoku/>
        <w:wordWrap/>
        <w:overflowPunct/>
        <w:topLinePunct w:val="0"/>
        <w:autoSpaceDE/>
        <w:autoSpaceDN/>
        <w:bidi w:val="0"/>
        <w:adjustRightInd w:val="0"/>
        <w:snapToGrid w:val="0"/>
        <w:spacing w:line="300" w:lineRule="exact"/>
        <w:ind w:left="0" w:leftChars="0" w:firstLine="481" w:firstLineChars="20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流量控制与监控：</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在API网关上为不同优先级的接口设置限流策略（如每秒请求数），防止系统被过度调用而瘫痪。</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heme="minorAscii" w:hAnsiTheme="minorAscii" w:eastAsiaTheme="minorEastAsia" w:cstheme="minorEastAsia"/>
          <w:color w:val="0F1115"/>
          <w:sz w:val="24"/>
          <w:szCs w:val="24"/>
        </w:rPr>
      </w:pPr>
      <w:r>
        <w:rPr>
          <w:rFonts w:hint="default" w:asciiTheme="minorAscii" w:hAnsiTheme="minorAscii" w:eastAsiaTheme="minorEastAsia" w:cstheme="minorEastAsia"/>
          <w:sz w:val="24"/>
          <w:szCs w:val="24"/>
        </w:rPr>
        <w:t>记录所有接口的请求、响应日志，实现全链路的监控与故障快速定位。</w:t>
      </w:r>
    </w:p>
    <w:p>
      <w:pPr>
        <w:pStyle w:val="7"/>
        <w:pageBreakBefore w:val="0"/>
        <w:kinsoku/>
        <w:wordWrap/>
        <w:overflowPunct/>
        <w:topLinePunct w:val="0"/>
        <w:autoSpaceDE/>
        <w:autoSpaceDN/>
        <w:bidi w:val="0"/>
        <w:adjustRightInd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 xml:space="preserve"> 典型接口调用流程</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以外部系统调用水质七参为例</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1" w:firstLineChars="200"/>
        <w:jc w:val="left"/>
        <w:textAlignment w:val="auto"/>
        <w:rPr>
          <w:rFonts w:hint="default" w:asciiTheme="minorAscii" w:hAnsiTheme="minorAscii" w:eastAsiaTheme="minorEastAsia" w:cstheme="minorEastAsia"/>
          <w:b/>
          <w:bCs/>
          <w:color w:val="0F1115"/>
          <w:sz w:val="24"/>
          <w:szCs w:val="24"/>
        </w:rPr>
      </w:pPr>
      <w:r>
        <w:rPr>
          <w:rFonts w:hint="default" w:asciiTheme="minorAscii" w:hAnsiTheme="minorAscii" w:eastAsiaTheme="minorEastAsia" w:cstheme="minorEastAsia"/>
          <w:b/>
          <w:bCs/>
          <w:color w:val="0F1115"/>
          <w:sz w:val="24"/>
          <w:szCs w:val="24"/>
        </w:rPr>
        <w:t>参与角色：</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外部系统：需要获取水质数据的上级监管平台或兄弟部门业务系统。</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API网关：本平台</w:t>
      </w:r>
      <w:r>
        <w:rPr>
          <w:rFonts w:hint="default" w:asciiTheme="minorAscii" w:hAnsiTheme="minorAscii" w:eastAsiaTheme="minorEastAsia" w:cstheme="minorEastAsia"/>
          <w:b w:val="0"/>
          <w:bCs w:val="0"/>
          <w:color w:val="0F1115"/>
          <w:sz w:val="24"/>
          <w:szCs w:val="24"/>
          <w:lang w:val="en-US" w:eastAsia="zh-CN"/>
        </w:rPr>
        <w:t>物联网支撑</w:t>
      </w:r>
      <w:r>
        <w:rPr>
          <w:rFonts w:hint="default" w:asciiTheme="minorAscii" w:hAnsiTheme="minorAscii" w:eastAsiaTheme="minorEastAsia" w:cstheme="minorEastAsia"/>
          <w:b w:val="0"/>
          <w:bCs w:val="0"/>
          <w:color w:val="0F1115"/>
          <w:sz w:val="24"/>
          <w:szCs w:val="24"/>
        </w:rPr>
        <w:t>系统的统一入口，负责认证、鉴权和路由。</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数据服务：本平台</w:t>
      </w:r>
      <w:r>
        <w:rPr>
          <w:rFonts w:hint="default" w:asciiTheme="minorAscii" w:hAnsiTheme="minorAscii" w:eastAsiaTheme="minorEastAsia" w:cstheme="minorEastAsia"/>
          <w:b w:val="0"/>
          <w:bCs w:val="0"/>
          <w:color w:val="0F1115"/>
          <w:sz w:val="24"/>
          <w:szCs w:val="24"/>
          <w:lang w:val="en-US" w:eastAsia="zh-CN"/>
        </w:rPr>
        <w:t>物联网支撑</w:t>
      </w:r>
      <w:r>
        <w:rPr>
          <w:rFonts w:hint="default" w:asciiTheme="minorAscii" w:hAnsiTheme="minorAscii" w:eastAsiaTheme="minorEastAsia" w:cstheme="minorEastAsia"/>
          <w:b w:val="0"/>
          <w:bCs w:val="0"/>
          <w:color w:val="0F1115"/>
          <w:sz w:val="24"/>
          <w:szCs w:val="24"/>
        </w:rPr>
        <w:t>系统内封装的数据查询微服务。</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lang w:val="en-US" w:eastAsia="zh-CN"/>
        </w:rPr>
        <w:t>数据支撑</w:t>
      </w:r>
      <w:r>
        <w:rPr>
          <w:rFonts w:hint="default" w:asciiTheme="minorAscii" w:hAnsiTheme="minorAscii" w:eastAsiaTheme="minorEastAsia" w:cstheme="minorEastAsia"/>
          <w:b w:val="0"/>
          <w:bCs w:val="0"/>
          <w:color w:val="0F1115"/>
          <w:sz w:val="24"/>
          <w:szCs w:val="24"/>
        </w:rPr>
        <w:t>平台：作为水质七参的原始数据源。</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1"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bCs/>
          <w:color w:val="0F1115"/>
          <w:sz w:val="24"/>
          <w:szCs w:val="24"/>
        </w:rPr>
        <w:t>调用流程：</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认证获取令牌：</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发起：外部系统使用事先分配好的 App Key 和 App Secret，向 API网关 的认证端点发起请求。</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验证：API网关 验证凭证有效性。</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返回：验证通过后，API网关 向外部系统返回一个短期有效的 Access Token。</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发起数据请求：</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发起：外部系统在后续的请求Header中携带此 Access Token，调用 API网关 上发布的 水质数据查询API，并在请求体中传入查询参数（如 monitorPointId监测点位ID、startTime开始时间、endTime结束时间）。</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网关鉴权与路由：</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鉴权：API网关 拦截请求，验证 Access Token 的有效性及该外部系统是否有权限调用此API。</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路由：鉴权通过后，API网关 将请求转发至后端的 数据服务。</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数据处理与响应：</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 xml:space="preserve">查询：数据服务 接收请求，从 </w:t>
      </w:r>
      <w:r>
        <w:rPr>
          <w:rFonts w:hint="default" w:asciiTheme="minorAscii" w:hAnsiTheme="minorAscii" w:eastAsiaTheme="minorEastAsia" w:cstheme="minorEastAsia"/>
          <w:b w:val="0"/>
          <w:bCs w:val="0"/>
          <w:color w:val="0F1115"/>
          <w:sz w:val="24"/>
          <w:szCs w:val="24"/>
          <w:lang w:val="en-US" w:eastAsia="zh-CN"/>
        </w:rPr>
        <w:t>数据</w:t>
      </w:r>
      <w:r>
        <w:rPr>
          <w:rFonts w:hint="default" w:asciiTheme="minorAscii" w:hAnsiTheme="minorAscii" w:eastAsiaTheme="minorEastAsia" w:cstheme="minorEastAsia"/>
          <w:b w:val="0"/>
          <w:bCs w:val="0"/>
          <w:color w:val="0F1115"/>
          <w:sz w:val="24"/>
          <w:szCs w:val="24"/>
        </w:rPr>
        <w:t>平台 的实时/历史数据库中查询指定点位和时段的水质七参数据。</w:t>
      </w:r>
    </w:p>
    <w:p>
      <w:pPr>
        <w:pStyle w:val="27"/>
        <w:keepNext w:val="0"/>
        <w:keepLines w:val="0"/>
        <w:pageBreakBefore w:val="0"/>
        <w:widowControl w:val="0"/>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封装：数据服务 将查询结果封装成标准的JSON格式。</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返回：数据服务 将标准化数据返回给 API网关。</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最终交付：</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记录：API网关 记录本次调用日志，用于审计。</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b w:val="0"/>
          <w:bCs w:val="0"/>
          <w:color w:val="0F1115"/>
          <w:sz w:val="24"/>
          <w:szCs w:val="24"/>
        </w:rPr>
      </w:pPr>
      <w:r>
        <w:rPr>
          <w:rFonts w:hint="default" w:asciiTheme="minorAscii" w:hAnsiTheme="minorAscii" w:eastAsiaTheme="minorEastAsia" w:cstheme="minorEastAsia"/>
          <w:b w:val="0"/>
          <w:bCs w:val="0"/>
          <w:color w:val="0F1115"/>
          <w:sz w:val="24"/>
          <w:szCs w:val="24"/>
        </w:rPr>
        <w:t>返回：API网关 将最终的水质七参数据返回给外部系统。</w:t>
      </w:r>
    </w:p>
    <w:p>
      <w:pPr>
        <w:pStyle w:val="27"/>
        <w:keepNext w:val="0"/>
        <w:keepLines w:val="0"/>
        <w:pageBreakBefore w:val="0"/>
        <w:widowControl/>
        <w:shd w:val="clear" w:color="auto" w:fill="FFFFFF"/>
        <w:kinsoku/>
        <w:wordWrap/>
        <w:overflowPunct/>
        <w:topLinePunct w:val="0"/>
        <w:autoSpaceDE/>
        <w:autoSpaceDN/>
        <w:bidi w:val="0"/>
        <w:adjustRightInd w:val="0"/>
        <w:snapToGrid/>
        <w:spacing w:before="0" w:beforeAutospacing="0" w:after="0" w:afterAutospacing="0" w:line="300" w:lineRule="exact"/>
        <w:ind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val="0"/>
          <w:bCs w:val="0"/>
          <w:color w:val="0F1115"/>
          <w:sz w:val="24"/>
          <w:szCs w:val="24"/>
        </w:rPr>
        <w:t>通过以上设计，确保了内外部系统在保持独立性的同时，能够高效、安全、灵活地协同工作，共同支撑起智慧生态管控的完整业务闭环。</w:t>
      </w:r>
    </w:p>
    <w:p>
      <w:pPr>
        <w:pStyle w:val="5"/>
        <w:keepNext/>
        <w:keepLines/>
        <w:pageBreakBefore w:val="0"/>
        <w:widowControl w:val="0"/>
        <w:kinsoku/>
        <w:wordWrap/>
        <w:overflowPunct/>
        <w:topLinePunct w:val="0"/>
        <w:autoSpaceDE/>
        <w:autoSpaceDN/>
        <w:bidi w:val="0"/>
        <w:adjustRightInd w:val="0"/>
        <w:snapToGrid w:val="0"/>
        <w:spacing w:before="499" w:beforeLines="150"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平台部署方案</w:t>
      </w:r>
    </w:p>
    <w:p>
      <w:pPr>
        <w:pageBreakBefore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w:t>
      </w:r>
      <w:r>
        <w:rPr>
          <w:rFonts w:hint="default" w:asciiTheme="minorAscii" w:hAnsiTheme="minorAscii" w:eastAsiaTheme="minorEastAsia" w:cstheme="minorEastAsia"/>
          <w:spacing w:val="-6"/>
          <w:sz w:val="24"/>
          <w:szCs w:val="24"/>
          <w:lang w:val="en-US" w:eastAsia="zh-CN"/>
        </w:rPr>
        <w:t>项目“</w:t>
      </w:r>
      <w:r>
        <w:rPr>
          <w:rFonts w:hint="default" w:asciiTheme="minorAscii" w:hAnsiTheme="minorAscii" w:eastAsiaTheme="minorEastAsia" w:cstheme="minorEastAsia"/>
          <w:b/>
          <w:bCs/>
          <w:spacing w:val="-6"/>
          <w:sz w:val="24"/>
          <w:szCs w:val="24"/>
          <w:lang w:val="en-US" w:eastAsia="zh-CN"/>
        </w:rPr>
        <w:t>风险源监测与环境应急平台”（软件）</w:t>
      </w:r>
      <w:r>
        <w:rPr>
          <w:rFonts w:hint="default" w:asciiTheme="minorAscii" w:hAnsiTheme="minorAscii" w:eastAsiaTheme="minorEastAsia" w:cstheme="minorEastAsia"/>
          <w:spacing w:val="-6"/>
          <w:sz w:val="24"/>
          <w:szCs w:val="24"/>
        </w:rPr>
        <w:t>采用基于政务云和边缘计算分层、高可用分布式架构进行部署，确保系统的高性能、高可靠性和弹性扩展能力。</w:t>
      </w:r>
    </w:p>
    <w:p>
      <w:pPr>
        <w:pageBreakBefore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Ⅰ</w:t>
      </w:r>
      <w:r>
        <w:rPr>
          <w:rFonts w:hint="default" w:asciiTheme="minorAscii" w:hAnsiTheme="minorAscii" w:eastAsiaTheme="minorEastAsia" w:cstheme="minorEastAsia"/>
          <w:sz w:val="24"/>
          <w:szCs w:val="24"/>
          <w:lang w:val="en-US" w:eastAsia="zh-CN"/>
        </w:rPr>
        <w:t>.</w:t>
      </w:r>
      <w:r>
        <w:rPr>
          <w:rFonts w:hint="default" w:asciiTheme="minorAscii" w:hAnsiTheme="minorAscii" w:eastAsiaTheme="minorEastAsia" w:cstheme="minorEastAsia"/>
          <w:sz w:val="24"/>
          <w:szCs w:val="24"/>
        </w:rPr>
        <w:t xml:space="preserve"> 部署架构拓扑</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rPr>
        <w:t>平台总体部署结构如下图所示，清晰地展示了从用户端到基础设施层的网络分区与核心服务部署位置</w:t>
      </w:r>
      <w:r>
        <w:rPr>
          <w:rFonts w:hint="default" w:asciiTheme="minorAscii" w:hAnsiTheme="minorAscii" w:eastAsiaTheme="minorEastAsia" w:cstheme="minorEastAsia"/>
          <w:sz w:val="24"/>
          <w:szCs w:val="24"/>
          <w:lang w:eastAsia="zh-CN"/>
        </w:rPr>
        <w:t>。</w:t>
      </w:r>
    </w:p>
    <w:p>
      <w:pPr>
        <w:pStyle w:val="28"/>
        <w:pageBreakBefore w:val="0"/>
        <w:kinsoku/>
        <w:wordWrap/>
        <w:overflowPunct/>
        <w:topLinePunct w:val="0"/>
        <w:autoSpaceDE/>
        <w:autoSpaceDN/>
        <w:bidi w:val="0"/>
        <w:adjustRightInd w:val="0"/>
        <w:spacing w:before="166" w:after="166"/>
        <w:ind w:left="0" w:leftChars="0" w:firstLine="0" w:firstLineChars="0"/>
        <w:jc w:val="center"/>
        <w:textAlignment w:val="auto"/>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lang w:eastAsia="zh-CN"/>
        </w:rPr>
        <w:drawing>
          <wp:inline distT="0" distB="0" distL="114300" distR="114300">
            <wp:extent cx="4361815" cy="5369560"/>
            <wp:effectExtent l="0" t="0" r="12065" b="10160"/>
            <wp:docPr id="91" name="图片 91" descr="580785c1c1c36aad280d1a3d2ab79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580785c1c1c36aad280d1a3d2ab79c7c"/>
                    <pic:cNvPicPr>
                      <a:picLocks noChangeAspect="1"/>
                    </pic:cNvPicPr>
                  </pic:nvPicPr>
                  <pic:blipFill>
                    <a:blip r:embed="rId61"/>
                    <a:stretch>
                      <a:fillRect/>
                    </a:stretch>
                  </pic:blipFill>
                  <pic:spPr>
                    <a:xfrm>
                      <a:off x="0" y="0"/>
                      <a:ext cx="4361815" cy="5369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00" w:lineRule="exact"/>
        <w:ind w:left="0" w:leftChars="0" w:firstLine="0" w:firstLineChars="0"/>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图52 平台总体部署结构图</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Ⅱ</w:t>
      </w:r>
      <w:r>
        <w:rPr>
          <w:rFonts w:hint="default" w:asciiTheme="minorAscii" w:hAnsiTheme="minorAscii" w:eastAsiaTheme="minorEastAsia" w:cstheme="minorEastAsia"/>
          <w:sz w:val="24"/>
          <w:szCs w:val="24"/>
          <w:lang w:val="en-US" w:eastAsia="zh-CN"/>
        </w:rPr>
        <w:t>.</w:t>
      </w:r>
      <w:r>
        <w:rPr>
          <w:rFonts w:hint="default" w:asciiTheme="minorAscii" w:hAnsiTheme="minorAscii" w:eastAsiaTheme="minorEastAsia" w:cstheme="minorEastAsia"/>
          <w:sz w:val="24"/>
          <w:szCs w:val="24"/>
        </w:rPr>
        <w:t xml:space="preserve"> 部署环境说明</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本项目对数据的连续性、安全性和可靠性要求极高，其数据库方案需充分考虑数据整合的复杂性、业务连续性的重要性和未来扩展性。以下为本项目设计的数据库主从、备份与容灾综合方案：</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b/>
          <w:bCs/>
          <w:sz w:val="24"/>
          <w:szCs w:val="24"/>
          <w:lang w:val="en-US" w:eastAsia="zh-CN"/>
        </w:rPr>
      </w:pPr>
      <w:r>
        <w:rPr>
          <w:rFonts w:hint="default" w:asciiTheme="minorAscii" w:hAnsiTheme="minorAscii" w:eastAsiaTheme="minorEastAsia" w:cstheme="minorEastAsia"/>
          <w:b/>
          <w:bCs/>
          <w:sz w:val="24"/>
          <w:szCs w:val="24"/>
          <w:lang w:val="en-US" w:eastAsia="zh-CN"/>
        </w:rPr>
        <w:t>1）核心设计原则</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高可用性：确保核心业务系统7x24小时不间断运行。</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数据一致性：保障监测、监管、业务数据的准确与一致。</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安全性：符合等保2.0/三级相关要求，防止数据泄露、篡改和丢失。</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可扩展性：适应未来数据量增长和业务范围扩展。</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可恢复性：满足RPO（恢复点目标）和RTO（恢复时间目标）要求。</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2）</w:t>
      </w:r>
      <w:r>
        <w:rPr>
          <w:rFonts w:hint="default" w:asciiTheme="minorAscii" w:hAnsiTheme="minorAscii" w:eastAsiaTheme="minorEastAsia" w:cstheme="minorEastAsia"/>
          <w:b/>
          <w:bCs/>
          <w:sz w:val="24"/>
          <w:szCs w:val="24"/>
        </w:rPr>
        <w:t>核心生产环境：</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位置：部署于政务云平台，利用其高规格的物理基础设施和网络资源。</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架构：采用集群化部署。关键服务（如应用服务器、数据库、API网关）均采用主备或负载均衡集群，避免单点故障。</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分区：严格划分网络区域，通过防火墙策略控制访问，确保核心数据区的安全。</w:t>
      </w:r>
    </w:p>
    <w:p>
      <w:pPr>
        <w:pStyle w:val="28"/>
        <w:keepNext w:val="0"/>
        <w:keepLines w:val="0"/>
        <w:pageBreakBefore w:val="0"/>
        <w:widowControl w:val="0"/>
        <w:kinsoku/>
        <w:wordWrap/>
        <w:overflowPunct/>
        <w:topLinePunct w:val="0"/>
        <w:autoSpaceDE/>
        <w:autoSpaceDN/>
        <w:bidi w:val="0"/>
        <w:adjustRightInd w:val="0"/>
        <w:spacing w:before="166" w:after="166"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边缘端：部署边缘计算网关与政务云通过4G互通。</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3）</w:t>
      </w:r>
      <w:r>
        <w:rPr>
          <w:rFonts w:hint="default" w:asciiTheme="minorAscii" w:hAnsiTheme="minorAscii" w:eastAsiaTheme="minorEastAsia" w:cstheme="minorEastAsia"/>
          <w:b/>
          <w:bCs/>
          <w:sz w:val="24"/>
          <w:szCs w:val="24"/>
        </w:rPr>
        <w:t>数据存储部署：</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①</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数据库主从复制架构</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拓扑结构：采用“一主两从”或“一主多从”架构。</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主库：部署于生产中心A。承担所有核心业务系统的读写请求。</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从库1（同城只读从库）：部署于生产中心A或同城灾备中心B。用于：分担主库的读负载（如报表查询、大数据分析、GIS空间分析）。作为热备节点，主库故障时可快速切换为新的主库。</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从库2（异地只读从库）：部署于异地灾备中心C。用于：数据异地备份与容灾。为异地机构提供只读数据访问。</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rPr>
        <w:t>②</w:t>
      </w:r>
      <w:r>
        <w:rPr>
          <w:rFonts w:hint="default" w:asciiTheme="minorAscii" w:hAnsiTheme="minorAscii" w:eastAsiaTheme="minorEastAsia" w:cstheme="minorEastAsia"/>
          <w:sz w:val="24"/>
          <w:szCs w:val="24"/>
          <w:lang w:val="en-US" w:eastAsia="zh-CN"/>
        </w:rPr>
        <w:t xml:space="preserve"> 技术选型</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关系型数据库：推荐使用openGauss或OceanBase。</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时序数据：采用时序数据库集群，部署于数据存储区，专门用于高效处理和存储海量的物联网监测数据。</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业务与空间数据：关系型数据库与GIS空间数据库采用主从复制架构，实现读写分离和数据备份。</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非结构化数据：视频、图片等大文件存储于对象存储服务中，提供高并发访问能力。</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数据同步工具：对于异构数据库间的数据整合（如业务库与监测库），可使用 TapData 或 DBSync等进行准实时数据同步。</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3）</w:t>
      </w:r>
      <w:r>
        <w:rPr>
          <w:rFonts w:hint="default" w:asciiTheme="minorAscii" w:hAnsiTheme="minorAscii" w:eastAsiaTheme="minorEastAsia" w:cstheme="minorEastAsia"/>
          <w:b/>
          <w:bCs/>
          <w:sz w:val="24"/>
          <w:szCs w:val="24"/>
        </w:rPr>
        <w:t>备份与容灾：</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val="0"/>
          <w:bCs w:val="0"/>
          <w:sz w:val="24"/>
          <w:szCs w:val="24"/>
          <w:u w:val="wave"/>
        </w:rPr>
        <w:t>在云平台内同城异地备份中心建立数据实时备份机制</w:t>
      </w:r>
      <w:r>
        <w:rPr>
          <w:rFonts w:hint="default" w:asciiTheme="minorAscii" w:hAnsiTheme="minorAscii" w:eastAsiaTheme="minorEastAsia" w:cstheme="minorEastAsia"/>
          <w:sz w:val="24"/>
          <w:szCs w:val="24"/>
        </w:rPr>
        <w:t>，核心数据库事务日志实时同步至备份中心。</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①</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数据备份方案</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遵循“3-2-1”备份原则：</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3份数据：1份生产数据 + 2份备份。</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2种介质：至少使用磁盘（快照/备份文件）和磁带（或对象存储）两种不同介质。</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1份异地：至少有1份备份存储在异地。</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备份策略：</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全量备份：每周一次，于业务低峰期（如周日凌晨）进行。</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增量/差异备份：每日一次。</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日志备份：每15-30分钟一次（对RPO要求高的核心业务库）。</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备份存储：</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本地快速恢复区：生产中心使用高性能存储，保留近期（如7天）的备份，用于快速恢复。</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异地备份库：通过专用网络，将备份文件传输至异地灾备中心的对象存储（如阿里云OSS、华为云OBS）或磁带库中长期归档。</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备份验证：定期（如每季度）进行备份恢复演练，确保备份有效性。</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②</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容灾与高可用方案</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同城高可用（RTO分钟级）：</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方案：利用数据库自带的高可用机制（如</w:t>
      </w:r>
      <w:r>
        <w:rPr>
          <w:rFonts w:hint="default" w:asciiTheme="minorAscii" w:hAnsiTheme="minorAscii" w:eastAsiaTheme="minorEastAsia" w:cstheme="minorEastAsia"/>
          <w:sz w:val="24"/>
          <w:szCs w:val="24"/>
          <w:lang w:val="en-US" w:eastAsia="zh-CN"/>
        </w:rPr>
        <w:t>Paxos</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 xml:space="preserve"> Pa</w:t>
      </w:r>
      <w:r>
        <w:rPr>
          <w:rFonts w:hint="default" w:asciiTheme="minorAscii" w:hAnsiTheme="minorAscii" w:eastAsiaTheme="minorEastAsia" w:cstheme="minorEastAsia"/>
          <w:sz w:val="24"/>
          <w:szCs w:val="24"/>
          <w:lang w:val="en-US" w:eastAsia="zh-CN"/>
        </w:rPr>
        <w:t>rtition</w:t>
      </w:r>
      <w:r>
        <w:rPr>
          <w:rFonts w:hint="default" w:asciiTheme="minorAscii" w:hAnsiTheme="minorAscii" w:eastAsiaTheme="minorEastAsia" w:cstheme="minorEastAsia"/>
          <w:sz w:val="24"/>
          <w:szCs w:val="24"/>
        </w:rPr>
        <w:t>）或</w:t>
      </w:r>
      <w:r>
        <w:rPr>
          <w:rFonts w:hint="default" w:asciiTheme="minorAscii" w:hAnsiTheme="minorAscii" w:eastAsiaTheme="minorEastAsia" w:cstheme="minorEastAsia"/>
          <w:sz w:val="24"/>
          <w:szCs w:val="24"/>
          <w:lang w:val="en-US" w:eastAsia="zh-CN"/>
        </w:rPr>
        <w:t>自动故障检测与恢复、负载均衡等</w:t>
      </w:r>
      <w:r>
        <w:rPr>
          <w:rFonts w:hint="default" w:asciiTheme="minorAscii" w:hAnsiTheme="minorAscii"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切换：主库故障时，从库1自动或手动提升为新主库，应用通过虚拟IP（VIP）或域名自动连接至新主，业务中断时间控制在5分钟内。</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异地容灾（RTO小时级，RPO分钟级以内）：</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方案：基于异步流复制或日志传送，将数据实时/准实时复制到异地灾备中心C。</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切换：在同城双中心均不可用时，于异地中心启动应急数据库，恢复最新数据，业务系统在异地重新部署或切换。目标RTO&lt;4小时，RPO&lt;15分钟。</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③</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制定详细的数据恢复预案，定期进行恢复演练，确保在极端情况下业务数据可快速恢复。</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Ⅲ</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lang w:eastAsia="zh-CN"/>
        </w:rPr>
        <w:t>风险源监测与环境应急平台</w:t>
      </w:r>
      <w:r>
        <w:rPr>
          <w:rFonts w:hint="default" w:asciiTheme="minorAscii" w:hAnsiTheme="minorAscii" w:eastAsiaTheme="minorEastAsia" w:cstheme="minorEastAsia"/>
          <w:sz w:val="24"/>
          <w:szCs w:val="24"/>
        </w:rPr>
        <w:t>安全及运维体系</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本平台遵循 “纵深防御、主动防护” 的安全理念，构建覆盖云、网、数、用的全方位安全防护体系。</w:t>
      </w:r>
    </w:p>
    <w:p>
      <w:pPr>
        <w:keepNext w:val="0"/>
        <w:keepLines w:val="0"/>
        <w:pageBreakBefore w:val="0"/>
        <w:widowControl w:val="0"/>
        <w:kinsoku/>
        <w:wordWrap/>
        <w:overflowPunct/>
        <w:topLinePunct w:val="0"/>
        <w:autoSpaceDE/>
        <w:autoSpaceDN/>
        <w:bidi w:val="0"/>
        <w:adjustRightInd w:val="0"/>
        <w:spacing w:line="300" w:lineRule="exact"/>
        <w:ind w:firstLine="482"/>
        <w:jc w:val="left"/>
        <w:textAlignment w:val="auto"/>
        <w:rPr>
          <w:rFonts w:hint="default" w:asciiTheme="minorAscii" w:hAnsiTheme="minorAscii" w:eastAsiaTheme="minorEastAsia" w:cstheme="minorEastAsia"/>
          <w:b/>
          <w:sz w:val="24"/>
          <w:szCs w:val="24"/>
        </w:rPr>
      </w:pPr>
      <w:r>
        <w:rPr>
          <w:rFonts w:hint="default" w:asciiTheme="minorAscii" w:hAnsiTheme="minorAscii" w:eastAsiaTheme="minorEastAsia" w:cstheme="minorEastAsia"/>
          <w:b/>
          <w:sz w:val="24"/>
          <w:szCs w:val="24"/>
          <w:lang w:val="en-US" w:eastAsia="zh-CN"/>
        </w:rPr>
        <w:t>1）</w:t>
      </w:r>
      <w:r>
        <w:rPr>
          <w:rFonts w:hint="default" w:asciiTheme="minorAscii" w:hAnsiTheme="minorAscii" w:eastAsiaTheme="minorEastAsia" w:cstheme="minorEastAsia"/>
          <w:b/>
          <w:sz w:val="24"/>
          <w:szCs w:val="24"/>
        </w:rPr>
        <w:t>网络安全：</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边界防护：在网络边界部署下一代防火墙，部署WAF对Web应用进行专项防护、部署DDos防护系统。</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访问控制：根据最小权限原则，严格配置各安全区域间的访问控制策略。</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传输加密：全面采用HTTPS/TLS协议对数据传输进行加密。</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lang w:val="en-US" w:eastAsia="zh-CN"/>
        </w:rPr>
        <w:t>2）</w:t>
      </w:r>
      <w:r>
        <w:rPr>
          <w:rFonts w:hint="default" w:asciiTheme="minorAscii" w:hAnsiTheme="minorAscii" w:eastAsiaTheme="minorEastAsia" w:cstheme="minorEastAsia"/>
          <w:b/>
          <w:bCs/>
          <w:sz w:val="24"/>
          <w:szCs w:val="24"/>
        </w:rPr>
        <w:t>应用与数据安全：</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身份认证与授权：建立统一身份认证系统，实现所有应用的集中登录和权限管理。</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数据安全：对敏感数据（如个人身份证号、位置信息）进行脱敏处理；对核心配置文件和数据库连接信息进行加密存储。</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安全审计：记录并留存用户操作日志、系统访问日志，确保所有行为可追溯。</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管理安全：</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定期进行安全渗透测试与漏洞扫描，及时发现并修复安全漏洞。</w:t>
      </w:r>
    </w:p>
    <w:p>
      <w:pPr>
        <w:keepNext w:val="0"/>
        <w:keepLines w:val="0"/>
        <w:pageBreakBefore w:val="0"/>
        <w:widowControl w:val="0"/>
        <w:kinsoku/>
        <w:wordWrap/>
        <w:overflowPunct/>
        <w:topLinePunct w:val="0"/>
        <w:autoSpaceDE/>
        <w:autoSpaceDN/>
        <w:bidi w:val="0"/>
        <w:adjustRightIn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建立安全运维制度，明确安全事件应急响应流程。</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Ⅳ</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云资源配置清单</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1</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云资源总体规划</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我们将系统分为几个资源池，以便于管理和满足安全隔离需求。</w:t>
      </w:r>
    </w:p>
    <w:tbl>
      <w:tblPr>
        <w:tblStyle w:val="19"/>
        <w:tblW w:w="8320"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3188"/>
        <w:gridCol w:w="2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492"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b/>
                <w:bCs/>
                <w:kern w:val="0"/>
                <w:sz w:val="18"/>
                <w:szCs w:val="18"/>
              </w:rPr>
              <w:t>资源池</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b/>
                <w:bCs/>
                <w:kern w:val="0"/>
                <w:sz w:val="18"/>
                <w:szCs w:val="18"/>
              </w:rPr>
              <w:t>主要承载系统</w:t>
            </w:r>
          </w:p>
        </w:tc>
        <w:tc>
          <w:tcPr>
            <w:tcW w:w="264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b/>
                <w:bCs/>
                <w:kern w:val="0"/>
                <w:sz w:val="18"/>
                <w:szCs w:val="18"/>
              </w:rPr>
              <w:t>核心特点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492"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b/>
                <w:bCs/>
                <w:kern w:val="0"/>
                <w:sz w:val="18"/>
                <w:szCs w:val="18"/>
              </w:rPr>
              <w:t>数据与AI资源池</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kern w:val="0"/>
                <w:sz w:val="18"/>
                <w:szCs w:val="18"/>
                <w:lang w:val="en-US" w:eastAsia="zh-CN"/>
              </w:rPr>
              <w:t>数据基础支撑平台智慧管理</w:t>
            </w:r>
            <w:r>
              <w:rPr>
                <w:rFonts w:hint="default" w:asciiTheme="minorAscii" w:hAnsiTheme="minorAscii" w:eastAsiaTheme="minorEastAsia" w:cstheme="minorEastAsia"/>
                <w:kern w:val="0"/>
                <w:sz w:val="18"/>
                <w:szCs w:val="18"/>
              </w:rPr>
              <w:t>平台</w:t>
            </w:r>
          </w:p>
        </w:tc>
        <w:tc>
          <w:tcPr>
            <w:tcW w:w="264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kern w:val="0"/>
                <w:sz w:val="18"/>
                <w:szCs w:val="18"/>
              </w:rPr>
              <w:t>高计算、高内存、需GPU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492"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b/>
                <w:bCs/>
                <w:kern w:val="0"/>
                <w:sz w:val="18"/>
                <w:szCs w:val="18"/>
              </w:rPr>
              <w:t>应用与业务资源池</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kern w:val="0"/>
                <w:sz w:val="18"/>
                <w:szCs w:val="18"/>
                <w:lang w:eastAsia="zh-CN"/>
              </w:rPr>
            </w:pPr>
            <w:r>
              <w:rPr>
                <w:rFonts w:hint="default" w:asciiTheme="minorAscii" w:hAnsiTheme="minorAscii" w:eastAsiaTheme="minorEastAsia" w:cstheme="minorEastAsia"/>
                <w:kern w:val="0"/>
                <w:sz w:val="18"/>
                <w:szCs w:val="18"/>
                <w:lang w:eastAsia="zh-CN"/>
              </w:rPr>
              <w:t>多维协同系统</w:t>
            </w:r>
          </w:p>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kern w:val="0"/>
                <w:sz w:val="18"/>
                <w:szCs w:val="18"/>
              </w:rPr>
            </w:pPr>
            <w:r>
              <w:rPr>
                <w:rFonts w:hint="default" w:asciiTheme="minorAscii" w:hAnsiTheme="minorAscii" w:eastAsiaTheme="minorEastAsia" w:cstheme="minorEastAsia"/>
                <w:kern w:val="0"/>
                <w:sz w:val="18"/>
                <w:szCs w:val="18"/>
              </w:rPr>
              <w:t>一图览水</w:t>
            </w:r>
          </w:p>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kern w:val="0"/>
                <w:sz w:val="18"/>
                <w:szCs w:val="18"/>
              </w:rPr>
            </w:pPr>
            <w:r>
              <w:rPr>
                <w:rFonts w:hint="default" w:asciiTheme="minorAscii" w:hAnsiTheme="minorAscii" w:eastAsiaTheme="minorEastAsia" w:cstheme="minorEastAsia"/>
                <w:kern w:val="0"/>
                <w:sz w:val="18"/>
                <w:szCs w:val="18"/>
              </w:rPr>
              <w:t>指挥调度控制系统</w:t>
            </w:r>
          </w:p>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kern w:val="0"/>
                <w:sz w:val="18"/>
                <w:szCs w:val="18"/>
              </w:rPr>
              <w:t>信息发布平台</w:t>
            </w:r>
          </w:p>
        </w:tc>
        <w:tc>
          <w:tcPr>
            <w:tcW w:w="264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kern w:val="0"/>
                <w:sz w:val="18"/>
                <w:szCs w:val="18"/>
              </w:rPr>
              <w:t>常规计算、高可用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92"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b/>
                <w:bCs/>
                <w:kern w:val="0"/>
                <w:sz w:val="18"/>
                <w:szCs w:val="18"/>
              </w:rPr>
              <w:t>媒体与通讯资源池</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kern w:val="0"/>
                <w:sz w:val="18"/>
                <w:szCs w:val="18"/>
              </w:rPr>
            </w:pPr>
            <w:r>
              <w:rPr>
                <w:rFonts w:hint="default" w:asciiTheme="minorAscii" w:hAnsiTheme="minorAscii" w:eastAsiaTheme="minorEastAsia" w:cstheme="minorEastAsia"/>
                <w:kern w:val="0"/>
                <w:sz w:val="18"/>
                <w:szCs w:val="18"/>
                <w:lang w:val="en-US" w:eastAsia="zh-CN"/>
              </w:rPr>
              <w:t>智慧管理</w:t>
            </w:r>
            <w:r>
              <w:rPr>
                <w:rFonts w:hint="default" w:asciiTheme="minorAscii" w:hAnsiTheme="minorAscii" w:eastAsiaTheme="minorEastAsia" w:cstheme="minorEastAsia"/>
                <w:kern w:val="0"/>
                <w:sz w:val="18"/>
                <w:szCs w:val="18"/>
              </w:rPr>
              <w:t>系统（视频、广播、会议）</w:t>
            </w:r>
          </w:p>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kern w:val="0"/>
                <w:sz w:val="18"/>
                <w:szCs w:val="18"/>
              </w:rPr>
              <w:t>融合通讯</w:t>
            </w:r>
          </w:p>
        </w:tc>
        <w:tc>
          <w:tcPr>
            <w:tcW w:w="264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kern w:val="0"/>
                <w:sz w:val="18"/>
                <w:szCs w:val="18"/>
              </w:rPr>
              <w:t>高网络吞吐、大容量存储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492"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b/>
                <w:bCs/>
                <w:kern w:val="0"/>
                <w:sz w:val="18"/>
                <w:szCs w:val="18"/>
              </w:rPr>
              <w:t>基座与运维资源池</w:t>
            </w:r>
          </w:p>
        </w:tc>
        <w:tc>
          <w:tcPr>
            <w:tcW w:w="3188"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kern w:val="0"/>
                <w:sz w:val="18"/>
                <w:szCs w:val="18"/>
              </w:rPr>
            </w:pPr>
            <w:r>
              <w:rPr>
                <w:rFonts w:hint="default" w:asciiTheme="minorAscii" w:hAnsiTheme="minorAscii" w:eastAsiaTheme="minorEastAsia" w:cstheme="minorEastAsia"/>
                <w:kern w:val="0"/>
                <w:sz w:val="18"/>
                <w:szCs w:val="18"/>
                <w:lang w:val="en-US" w:eastAsia="zh-CN"/>
              </w:rPr>
              <w:t>物联网支撑</w:t>
            </w:r>
            <w:r>
              <w:rPr>
                <w:rFonts w:hint="default" w:asciiTheme="minorAscii" w:hAnsiTheme="minorAscii" w:eastAsiaTheme="minorEastAsia" w:cstheme="minorEastAsia"/>
                <w:kern w:val="0"/>
                <w:sz w:val="18"/>
                <w:szCs w:val="18"/>
              </w:rPr>
              <w:t>系统</w:t>
            </w:r>
          </w:p>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kern w:val="0"/>
                <w:sz w:val="18"/>
                <w:szCs w:val="18"/>
              </w:rPr>
            </w:pPr>
            <w:r>
              <w:rPr>
                <w:rFonts w:hint="default" w:asciiTheme="minorAscii" w:hAnsiTheme="minorAscii" w:eastAsiaTheme="minorEastAsia" w:cstheme="minorEastAsia"/>
                <w:kern w:val="0"/>
                <w:sz w:val="18"/>
                <w:szCs w:val="18"/>
              </w:rPr>
              <w:t>运维系统</w:t>
            </w:r>
          </w:p>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kern w:val="0"/>
                <w:sz w:val="18"/>
                <w:szCs w:val="18"/>
              </w:rPr>
              <w:t>移动端（服务端）</w:t>
            </w:r>
          </w:p>
        </w:tc>
        <w:tc>
          <w:tcPr>
            <w:tcW w:w="264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0" w:firstLineChars="0"/>
              <w:jc w:val="center"/>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kern w:val="0"/>
                <w:sz w:val="18"/>
                <w:szCs w:val="18"/>
              </w:rPr>
              <w:t>常规计算、高稳定性和安全性</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before="360"/>
        <w:ind w:firstLine="480"/>
        <w:jc w:val="left"/>
        <w:textAlignment w:val="auto"/>
        <w:rPr>
          <w:rFonts w:hint="default" w:asciiTheme="minorAscii" w:hAnsiTheme="minorAscii" w:eastAsiaTheme="minorEastAsia" w:cstheme="minorEastAsia"/>
          <w:b/>
          <w:bCs/>
          <w:color w:val="0F1115"/>
          <w:kern w:val="0"/>
          <w:sz w:val="18"/>
          <w:szCs w:val="18"/>
        </w:rPr>
      </w:pPr>
      <w:r>
        <w:rPr>
          <w:rFonts w:hint="default" w:asciiTheme="minorAscii" w:hAnsiTheme="minorAscii" w:eastAsiaTheme="minorEastAsia" w:cstheme="minorEastAsia"/>
          <w:b/>
          <w:bCs/>
          <w:color w:val="0F1115"/>
          <w:kern w:val="0"/>
          <w:sz w:val="18"/>
          <w:szCs w:val="18"/>
        </w:rPr>
        <w:t>2</w:t>
      </w:r>
      <w:r>
        <w:rPr>
          <w:rFonts w:hint="default" w:asciiTheme="minorAscii" w:hAnsiTheme="minorAscii" w:eastAsiaTheme="minorEastAsia" w:cstheme="minorEastAsia"/>
          <w:b/>
          <w:bCs/>
          <w:color w:val="0F1115"/>
          <w:kern w:val="0"/>
          <w:sz w:val="18"/>
          <w:szCs w:val="18"/>
          <w:lang w:eastAsia="zh-CN"/>
        </w:rPr>
        <w:t>）</w:t>
      </w:r>
      <w:r>
        <w:rPr>
          <w:rFonts w:hint="default" w:asciiTheme="minorAscii" w:hAnsiTheme="minorAscii" w:eastAsiaTheme="minorEastAsia" w:cstheme="minorEastAsia"/>
          <w:b/>
          <w:bCs/>
          <w:color w:val="0F1115"/>
          <w:kern w:val="0"/>
          <w:sz w:val="18"/>
          <w:szCs w:val="18"/>
        </w:rPr>
        <w:t>详细云资源清单</w:t>
      </w:r>
    </w:p>
    <w:p>
      <w:pPr>
        <w:keepNext w:val="0"/>
        <w:keepLines w:val="0"/>
        <w:pageBreakBefore w:val="0"/>
        <w:widowControl/>
        <w:shd w:val="clear" w:color="auto" w:fill="FFFFFF"/>
        <w:kinsoku/>
        <w:wordWrap/>
        <w:overflowPunct/>
        <w:topLinePunct w:val="0"/>
        <w:autoSpaceDE/>
        <w:autoSpaceDN/>
        <w:bidi w:val="0"/>
        <w:adjustRightInd w:val="0"/>
        <w:snapToGrid w:val="0"/>
        <w:spacing w:before="120" w:after="240"/>
        <w:ind w:firstLine="480"/>
        <w:jc w:val="left"/>
        <w:textAlignment w:val="auto"/>
        <w:rPr>
          <w:rFonts w:hint="default" w:asciiTheme="minorAscii" w:hAnsiTheme="minorAscii" w:eastAsiaTheme="minorEastAsia" w:cstheme="minorEastAsia"/>
          <w:b/>
          <w:bCs/>
          <w:color w:val="0F1115"/>
          <w:kern w:val="0"/>
          <w:sz w:val="18"/>
          <w:szCs w:val="18"/>
        </w:rPr>
      </w:pPr>
      <w:r>
        <w:rPr>
          <w:rFonts w:hint="default" w:asciiTheme="minorAscii" w:hAnsiTheme="minorAscii" w:eastAsiaTheme="minorEastAsia" w:cstheme="minorEastAsia"/>
          <w:b/>
          <w:bCs/>
          <w:color w:val="0F1115"/>
          <w:kern w:val="0"/>
          <w:sz w:val="18"/>
          <w:szCs w:val="18"/>
        </w:rPr>
        <w:t>① 计算资源（云服务器 ECS）</w:t>
      </w:r>
    </w:p>
    <w:tbl>
      <w:tblPr>
        <w:tblStyle w:val="18"/>
        <w:tblW w:w="8290" w:type="dxa"/>
        <w:tblInd w:w="129" w:type="dxa"/>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Layout w:type="fixed"/>
        <w:tblCellMar>
          <w:top w:w="0" w:type="dxa"/>
          <w:left w:w="108" w:type="dxa"/>
          <w:bottom w:w="0" w:type="dxa"/>
          <w:right w:w="108" w:type="dxa"/>
        </w:tblCellMar>
      </w:tblPr>
      <w:tblGrid>
        <w:gridCol w:w="879"/>
        <w:gridCol w:w="1281"/>
        <w:gridCol w:w="1170"/>
        <w:gridCol w:w="620"/>
        <w:gridCol w:w="780"/>
        <w:gridCol w:w="800"/>
        <w:gridCol w:w="940"/>
        <w:gridCol w:w="1040"/>
        <w:gridCol w:w="780"/>
      </w:tblGrid>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570" w:hRule="atLeast"/>
          <w:tblHeader/>
        </w:trPr>
        <w:tc>
          <w:tcPr>
            <w:tcW w:w="8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资源池</w:t>
            </w:r>
          </w:p>
        </w:tc>
        <w:tc>
          <w:tcPr>
            <w:tcW w:w="12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系统/角色</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实例规格</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建议</w:t>
            </w:r>
          </w:p>
        </w:tc>
        <w:tc>
          <w:tcPr>
            <w:tcW w:w="6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数量</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vCPU</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内存</w:t>
            </w:r>
          </w:p>
        </w:tc>
        <w:tc>
          <w:tcPr>
            <w:tcW w:w="9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系统盘</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数据盘</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备注</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850" w:hRule="atLeast"/>
        </w:trPr>
        <w:tc>
          <w:tcPr>
            <w:tcW w:w="87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大数据与AI</w:t>
            </w:r>
          </w:p>
        </w:tc>
        <w:tc>
          <w:tcPr>
            <w:tcW w:w="12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lang w:val="en-US" w:eastAsia="zh-CN"/>
              </w:rPr>
              <w:t>智慧管理支撑</w:t>
            </w:r>
            <w:r>
              <w:rPr>
                <w:rFonts w:hint="default" w:asciiTheme="minorAscii" w:hAnsiTheme="minorAscii" w:eastAsiaTheme="minorEastAsia" w:cstheme="minorEastAsia"/>
                <w:b/>
                <w:bCs/>
                <w:kern w:val="0"/>
                <w:sz w:val="18"/>
                <w:szCs w:val="18"/>
              </w:rPr>
              <w:t>平台</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通用型 g7 / 计算型 c7</w:t>
            </w:r>
          </w:p>
        </w:tc>
        <w:tc>
          <w:tcPr>
            <w:tcW w:w="6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8核</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32 GiB</w:t>
            </w:r>
          </w:p>
        </w:tc>
        <w:tc>
          <w:tcPr>
            <w:tcW w:w="9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100 GiB (ESSD)</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500 GiB (ESSD PL1)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主备架构</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905" w:hRule="atLeast"/>
        </w:trPr>
        <w:tc>
          <w:tcPr>
            <w:tcW w:w="8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2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lang w:val="en-US" w:eastAsia="zh-CN"/>
              </w:rPr>
              <w:t>智慧管理支撑</w:t>
            </w:r>
            <w:r>
              <w:rPr>
                <w:rFonts w:hint="default" w:asciiTheme="minorAscii" w:hAnsiTheme="minorAscii" w:eastAsiaTheme="minorEastAsia" w:cstheme="minorEastAsia"/>
                <w:b/>
                <w:bCs/>
                <w:kern w:val="0"/>
                <w:sz w:val="18"/>
                <w:szCs w:val="18"/>
              </w:rPr>
              <w:t xml:space="preserve">平台 </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计算型 c7 / 大数据型 d3c</w:t>
            </w:r>
          </w:p>
        </w:tc>
        <w:tc>
          <w:tcPr>
            <w:tcW w:w="6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2</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16核</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64 GiB</w:t>
            </w:r>
          </w:p>
        </w:tc>
        <w:tc>
          <w:tcPr>
            <w:tcW w:w="9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100 GiB (ESSD)</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2 TiB (ESSD PL1) * 2</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可横向扩展</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625" w:hRule="atLeast"/>
        </w:trPr>
        <w:tc>
          <w:tcPr>
            <w:tcW w:w="8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2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AI</w:t>
            </w:r>
            <w:r>
              <w:rPr>
                <w:rFonts w:hint="default" w:asciiTheme="minorAscii" w:hAnsiTheme="minorAscii" w:eastAsiaTheme="minorEastAsia" w:cstheme="minorEastAsia"/>
                <w:b/>
                <w:bCs/>
                <w:kern w:val="0"/>
                <w:sz w:val="18"/>
                <w:szCs w:val="18"/>
                <w:lang w:val="en-US" w:eastAsia="zh-CN"/>
              </w:rPr>
              <w:t>支撑</w:t>
            </w:r>
            <w:r>
              <w:rPr>
                <w:rFonts w:hint="default" w:asciiTheme="minorAscii" w:hAnsiTheme="minorAscii" w:eastAsiaTheme="minorEastAsia" w:cstheme="minorEastAsia"/>
                <w:b/>
                <w:bCs/>
                <w:kern w:val="0"/>
                <w:sz w:val="18"/>
                <w:szCs w:val="18"/>
              </w:rPr>
              <w:t>平台</w:t>
            </w:r>
          </w:p>
        </w:tc>
        <w:tc>
          <w:tcPr>
            <w:tcW w:w="1170" w:type="dxa"/>
            <w:tcBorders>
              <w:bottom w:val="nil"/>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GPU型 gn7i / gn6i</w:t>
            </w:r>
          </w:p>
        </w:tc>
        <w:tc>
          <w:tcPr>
            <w:tcW w:w="6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w:t>
            </w:r>
          </w:p>
        </w:tc>
        <w:tc>
          <w:tcPr>
            <w:tcW w:w="7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32核</w:t>
            </w:r>
          </w:p>
        </w:tc>
        <w:tc>
          <w:tcPr>
            <w:tcW w:w="80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128 GiB</w:t>
            </w:r>
          </w:p>
        </w:tc>
        <w:tc>
          <w:tcPr>
            <w:tcW w:w="9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100 GiB (ESSD)</w:t>
            </w:r>
          </w:p>
        </w:tc>
        <w:tc>
          <w:tcPr>
            <w:tcW w:w="10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 TiB (ESSD PL2)</w:t>
            </w:r>
          </w:p>
        </w:tc>
        <w:tc>
          <w:tcPr>
            <w:tcW w:w="7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含1-2块GPU卡</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570" w:hRule="atLeast"/>
        </w:trPr>
        <w:tc>
          <w:tcPr>
            <w:tcW w:w="8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2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170" w:type="dxa"/>
            <w:tcBorders>
              <w:top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(NVIDIA T4/V100)</w:t>
            </w:r>
          </w:p>
        </w:tc>
        <w:tc>
          <w:tcPr>
            <w:tcW w:w="6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7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8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9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0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7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870" w:hRule="atLeast"/>
        </w:trPr>
        <w:tc>
          <w:tcPr>
            <w:tcW w:w="87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应用与业务</w:t>
            </w:r>
          </w:p>
        </w:tc>
        <w:tc>
          <w:tcPr>
            <w:tcW w:w="12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lang w:val="en-US" w:eastAsia="zh-CN"/>
              </w:rPr>
              <w:t>数据可视化系统</w:t>
            </w:r>
            <w:r>
              <w:rPr>
                <w:rFonts w:hint="default" w:asciiTheme="minorAscii" w:hAnsiTheme="minorAscii" w:eastAsiaTheme="minorEastAsia" w:cstheme="minorEastAsia"/>
                <w:b/>
                <w:bCs/>
                <w:kern w:val="0"/>
                <w:sz w:val="18"/>
                <w:szCs w:val="18"/>
              </w:rPr>
              <w:t>(GIS/渲染服务器)</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计算型 c7 / 内存型 r7</w:t>
            </w:r>
          </w:p>
        </w:tc>
        <w:tc>
          <w:tcPr>
            <w:tcW w:w="6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16核</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64 GiB</w:t>
            </w:r>
          </w:p>
        </w:tc>
        <w:tc>
          <w:tcPr>
            <w:tcW w:w="9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100 GiB (ESSD)</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500 GiB (ESSD PL1)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高内存用于地图渲染</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305" w:hRule="atLeast"/>
        </w:trPr>
        <w:tc>
          <w:tcPr>
            <w:tcW w:w="8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281" w:type="dxa"/>
            <w:tcBorders>
              <w:bottom w:val="nil"/>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应用服务器</w:t>
            </w:r>
          </w:p>
        </w:tc>
        <w:tc>
          <w:tcPr>
            <w:tcW w:w="11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通用型 g7</w:t>
            </w:r>
          </w:p>
        </w:tc>
        <w:tc>
          <w:tcPr>
            <w:tcW w:w="6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2</w:t>
            </w:r>
          </w:p>
        </w:tc>
        <w:tc>
          <w:tcPr>
            <w:tcW w:w="7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8核</w:t>
            </w:r>
          </w:p>
        </w:tc>
        <w:tc>
          <w:tcPr>
            <w:tcW w:w="80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32 GiB</w:t>
            </w:r>
          </w:p>
        </w:tc>
        <w:tc>
          <w:tcPr>
            <w:tcW w:w="9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100 GiB (ESSD)</w:t>
            </w:r>
          </w:p>
        </w:tc>
        <w:tc>
          <w:tcPr>
            <w:tcW w:w="10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200 GiB (ESSD PL0)</w:t>
            </w:r>
          </w:p>
        </w:tc>
        <w:tc>
          <w:tcPr>
            <w:tcW w:w="7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部署在负载均衡后</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625" w:hRule="atLeast"/>
        </w:trPr>
        <w:tc>
          <w:tcPr>
            <w:tcW w:w="8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281" w:type="dxa"/>
            <w:tcBorders>
              <w:top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(监察督办、指挥调度等)</w:t>
            </w:r>
          </w:p>
        </w:tc>
        <w:tc>
          <w:tcPr>
            <w:tcW w:w="11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6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7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8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9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0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7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800" w:hRule="atLeast"/>
        </w:trPr>
        <w:tc>
          <w:tcPr>
            <w:tcW w:w="87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媒体与通讯</w:t>
            </w:r>
          </w:p>
        </w:tc>
        <w:tc>
          <w:tcPr>
            <w:tcW w:w="12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媒体处理服务器 (转码、分析)</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计算型 c7</w:t>
            </w:r>
          </w:p>
        </w:tc>
        <w:tc>
          <w:tcPr>
            <w:tcW w:w="6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16核</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32 GiB</w:t>
            </w:r>
          </w:p>
        </w:tc>
        <w:tc>
          <w:tcPr>
            <w:tcW w:w="9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100 GiB (ESSD)</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 TiB (ESSD PL1)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875" w:hRule="atLeast"/>
        </w:trPr>
        <w:tc>
          <w:tcPr>
            <w:tcW w:w="8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2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融合通讯服务器</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通用型 g7</w:t>
            </w:r>
          </w:p>
        </w:tc>
        <w:tc>
          <w:tcPr>
            <w:tcW w:w="6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8核</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16 GiB</w:t>
            </w:r>
          </w:p>
        </w:tc>
        <w:tc>
          <w:tcPr>
            <w:tcW w:w="9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100 GiB (ESSD)</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200 GiB (ESSD PL0)</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1130" w:hRule="atLeast"/>
        </w:trPr>
        <w:tc>
          <w:tcPr>
            <w:tcW w:w="87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基座与运维</w:t>
            </w:r>
          </w:p>
        </w:tc>
        <w:tc>
          <w:tcPr>
            <w:tcW w:w="12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lang w:val="en-US" w:eastAsia="zh-CN"/>
              </w:rPr>
              <w:t>物联网支撑</w:t>
            </w:r>
            <w:r>
              <w:rPr>
                <w:rFonts w:hint="default" w:asciiTheme="minorAscii" w:hAnsiTheme="minorAscii" w:eastAsiaTheme="minorEastAsia" w:cstheme="minorEastAsia"/>
                <w:b/>
                <w:bCs/>
                <w:kern w:val="0"/>
                <w:sz w:val="18"/>
                <w:szCs w:val="18"/>
              </w:rPr>
              <w:t>(微服务网关/注册中心)</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通用型 g7</w:t>
            </w:r>
          </w:p>
        </w:tc>
        <w:tc>
          <w:tcPr>
            <w:tcW w:w="6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8核</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32 GiB</w:t>
            </w:r>
          </w:p>
        </w:tc>
        <w:tc>
          <w:tcPr>
            <w:tcW w:w="9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100 GiB (ESSD)</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200 GiB (ESSD PL0)</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主备架构</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905" w:hRule="atLeast"/>
        </w:trPr>
        <w:tc>
          <w:tcPr>
            <w:tcW w:w="8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2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lang w:val="en-US" w:eastAsia="zh-CN"/>
              </w:rPr>
            </w:pPr>
            <w:r>
              <w:rPr>
                <w:rFonts w:hint="default" w:asciiTheme="minorAscii" w:hAnsiTheme="minorAscii" w:eastAsiaTheme="minorEastAsia" w:cstheme="minorEastAsia"/>
                <w:b/>
                <w:bCs/>
                <w:kern w:val="0"/>
                <w:sz w:val="18"/>
                <w:szCs w:val="18"/>
                <w:lang w:val="en-US" w:eastAsia="zh-CN"/>
              </w:rPr>
              <w:t>运维系统</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通用型 g7</w:t>
            </w:r>
          </w:p>
        </w:tc>
        <w:tc>
          <w:tcPr>
            <w:tcW w:w="6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8核</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16 GiB</w:t>
            </w:r>
          </w:p>
        </w:tc>
        <w:tc>
          <w:tcPr>
            <w:tcW w:w="9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100 GiB (ESSD)</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500 GiB (ESSD PL1)</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处理设备数据</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912" w:hRule="atLeast"/>
        </w:trPr>
        <w:tc>
          <w:tcPr>
            <w:tcW w:w="8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小计</w:t>
            </w:r>
          </w:p>
        </w:tc>
        <w:tc>
          <w:tcPr>
            <w:tcW w:w="12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lang w:eastAsia="zh-CN"/>
              </w:rPr>
            </w:pPr>
            <w:r>
              <w:rPr>
                <w:rFonts w:hint="default" w:asciiTheme="minorAscii" w:hAnsiTheme="minorAscii" w:eastAsiaTheme="minorEastAsia" w:cstheme="minorEastAsia"/>
                <w:b/>
                <w:bCs/>
                <w:kern w:val="0"/>
                <w:sz w:val="18"/>
                <w:szCs w:val="18"/>
                <w:lang w:eastAsia="zh-CN"/>
              </w:rPr>
              <w:t>——</w:t>
            </w:r>
          </w:p>
        </w:tc>
        <w:tc>
          <w:tcPr>
            <w:tcW w:w="11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lang w:eastAsia="zh-CN"/>
              </w:rPr>
            </w:pPr>
            <w:r>
              <w:rPr>
                <w:rFonts w:hint="default" w:asciiTheme="minorAscii" w:hAnsiTheme="minorAscii" w:eastAsiaTheme="minorEastAsia" w:cstheme="minorEastAsia"/>
                <w:b/>
                <w:bCs/>
                <w:kern w:val="0"/>
                <w:sz w:val="18"/>
                <w:szCs w:val="18"/>
                <w:lang w:eastAsia="zh-CN"/>
              </w:rPr>
              <w:t>——</w:t>
            </w:r>
          </w:p>
        </w:tc>
        <w:tc>
          <w:tcPr>
            <w:tcW w:w="6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11台</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约 144vCPU</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约 512 GiB</w:t>
            </w:r>
          </w:p>
        </w:tc>
        <w:tc>
          <w:tcPr>
            <w:tcW w:w="9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lang w:eastAsia="zh-CN"/>
              </w:rPr>
            </w:pPr>
            <w:r>
              <w:rPr>
                <w:rFonts w:hint="default" w:asciiTheme="minorAscii" w:hAnsiTheme="minorAscii" w:eastAsiaTheme="minorEastAsia" w:cstheme="minorEastAsia"/>
                <w:b/>
                <w:bCs/>
                <w:kern w:val="0"/>
                <w:sz w:val="18"/>
                <w:szCs w:val="18"/>
                <w:lang w:eastAsia="zh-CN"/>
              </w:rPr>
              <w:t>——</w:t>
            </w:r>
          </w:p>
        </w:tc>
        <w:tc>
          <w:tcPr>
            <w:tcW w:w="10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lang w:eastAsia="zh-CN"/>
              </w:rPr>
            </w:pPr>
            <w:r>
              <w:rPr>
                <w:rFonts w:hint="default" w:asciiTheme="minorAscii" w:hAnsiTheme="minorAscii" w:eastAsiaTheme="minorEastAsia" w:cstheme="minorEastAsia"/>
                <w:b/>
                <w:bCs/>
                <w:kern w:val="0"/>
                <w:sz w:val="18"/>
                <w:szCs w:val="18"/>
                <w:lang w:eastAsia="zh-CN"/>
              </w:rPr>
              <w:t>——</w:t>
            </w:r>
          </w:p>
        </w:tc>
        <w:tc>
          <w:tcPr>
            <w:tcW w:w="7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lang w:eastAsia="zh-CN"/>
              </w:rPr>
            </w:pPr>
            <w:r>
              <w:rPr>
                <w:rFonts w:hint="default" w:asciiTheme="minorAscii" w:hAnsiTheme="minorAscii" w:eastAsiaTheme="minorEastAsia" w:cstheme="minorEastAsia"/>
                <w:b/>
                <w:bCs/>
                <w:kern w:val="0"/>
                <w:sz w:val="18"/>
                <w:szCs w:val="18"/>
                <w:lang w:eastAsia="zh-CN"/>
              </w:rPr>
              <w:t>——</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before="499" w:beforeLines="150" w:after="240"/>
        <w:ind w:firstLine="480"/>
        <w:jc w:val="left"/>
        <w:textAlignment w:val="auto"/>
        <w:rPr>
          <w:rFonts w:hint="default" w:asciiTheme="minorAscii" w:hAnsiTheme="minorAscii" w:eastAsiaTheme="minorEastAsia" w:cstheme="minorEastAsia"/>
          <w:b/>
          <w:bCs/>
          <w:color w:val="0F1115"/>
          <w:kern w:val="0"/>
          <w:sz w:val="18"/>
          <w:szCs w:val="18"/>
        </w:rPr>
      </w:pPr>
      <w:r>
        <w:rPr>
          <w:rFonts w:hint="default" w:asciiTheme="minorAscii" w:hAnsiTheme="minorAscii" w:eastAsiaTheme="minorEastAsia" w:cstheme="minorEastAsia"/>
          <w:b/>
          <w:bCs/>
          <w:color w:val="0F1115"/>
          <w:kern w:val="0"/>
          <w:sz w:val="18"/>
          <w:szCs w:val="18"/>
        </w:rPr>
        <w:t>②</w:t>
      </w:r>
      <w:r>
        <w:rPr>
          <w:rFonts w:hint="default" w:asciiTheme="minorAscii" w:hAnsiTheme="minorAscii" w:eastAsiaTheme="minorEastAsia" w:cstheme="minorEastAsia"/>
          <w:b/>
          <w:bCs/>
          <w:color w:val="0F1115"/>
          <w:kern w:val="0"/>
          <w:sz w:val="18"/>
          <w:szCs w:val="18"/>
          <w:lang w:val="en-US" w:eastAsia="zh-CN"/>
        </w:rPr>
        <w:t xml:space="preserve"> 存储</w:t>
      </w:r>
      <w:r>
        <w:rPr>
          <w:rFonts w:hint="default" w:asciiTheme="minorAscii" w:hAnsiTheme="minorAscii" w:eastAsiaTheme="minorEastAsia" w:cstheme="minorEastAsia"/>
          <w:b/>
          <w:bCs/>
          <w:color w:val="0F1115"/>
          <w:kern w:val="0"/>
          <w:sz w:val="18"/>
          <w:szCs w:val="18"/>
        </w:rPr>
        <w:t>数据库资源</w:t>
      </w:r>
    </w:p>
    <w:tbl>
      <w:tblPr>
        <w:tblStyle w:val="18"/>
        <w:tblW w:w="8310" w:type="dxa"/>
        <w:tblInd w:w="99" w:type="dxa"/>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Layout w:type="fixed"/>
        <w:tblCellMar>
          <w:top w:w="0" w:type="dxa"/>
          <w:left w:w="108" w:type="dxa"/>
          <w:bottom w:w="0" w:type="dxa"/>
          <w:right w:w="108" w:type="dxa"/>
        </w:tblCellMar>
      </w:tblPr>
      <w:tblGrid>
        <w:gridCol w:w="1380"/>
        <w:gridCol w:w="1593"/>
        <w:gridCol w:w="3217"/>
        <w:gridCol w:w="2120"/>
      </w:tblGrid>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495" w:hRule="atLeast"/>
        </w:trPr>
        <w:tc>
          <w:tcPr>
            <w:tcW w:w="1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资源类型</w:t>
            </w:r>
          </w:p>
        </w:tc>
        <w:tc>
          <w:tcPr>
            <w:tcW w:w="15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云产品</w:t>
            </w:r>
          </w:p>
        </w:tc>
        <w:tc>
          <w:tcPr>
            <w:tcW w:w="32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配置建议</w:t>
            </w:r>
          </w:p>
        </w:tc>
        <w:tc>
          <w:tcPr>
            <w:tcW w:w="2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备注</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380" w:hRule="atLeast"/>
        </w:trPr>
        <w:tc>
          <w:tcPr>
            <w:tcW w:w="13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关系型数据库</w:t>
            </w:r>
          </w:p>
        </w:tc>
        <w:tc>
          <w:tcPr>
            <w:tcW w:w="159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云数据库 RDS  (OceanBase)</w:t>
            </w:r>
          </w:p>
        </w:tc>
        <w:tc>
          <w:tcPr>
            <w:tcW w:w="3217" w:type="dxa"/>
            <w:tcBorders>
              <w:bottom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实例规格：高可用版，8核16GiB起</w:t>
            </w:r>
          </w:p>
        </w:tc>
        <w:tc>
          <w:tcPr>
            <w:tcW w:w="21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承载监察督办、指挥调度等结构化数据</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385" w:hRule="atLeast"/>
        </w:trPr>
        <w:tc>
          <w:tcPr>
            <w:tcW w:w="13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5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3217" w:type="dxa"/>
            <w:tcBorders>
              <w:top w:val="nil"/>
              <w:bottom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存储：500 GiB SSD云盘</w:t>
            </w:r>
          </w:p>
        </w:tc>
        <w:tc>
          <w:tcPr>
            <w:tcW w:w="21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380" w:hRule="atLeast"/>
        </w:trPr>
        <w:tc>
          <w:tcPr>
            <w:tcW w:w="13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5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3217" w:type="dxa"/>
            <w:tcBorders>
              <w:top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备份：开启自动备份和日志备份</w:t>
            </w:r>
          </w:p>
        </w:tc>
        <w:tc>
          <w:tcPr>
            <w:tcW w:w="21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735" w:hRule="atLeast"/>
        </w:trPr>
        <w:tc>
          <w:tcPr>
            <w:tcW w:w="1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NoSQL数据库</w:t>
            </w:r>
          </w:p>
        </w:tc>
        <w:tc>
          <w:tcPr>
            <w:tcW w:w="15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云数据库 Redis</w:t>
            </w:r>
          </w:p>
        </w:tc>
        <w:tc>
          <w:tcPr>
            <w:tcW w:w="32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实例规格：双机主从版，4 GiB内存起</w:t>
            </w:r>
          </w:p>
        </w:tc>
        <w:tc>
          <w:tcPr>
            <w:tcW w:w="2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用于缓存、会话存储，提升性能</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755" w:hRule="atLeast"/>
        </w:trPr>
        <w:tc>
          <w:tcPr>
            <w:tcW w:w="1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大数据存储</w:t>
            </w:r>
          </w:p>
        </w:tc>
        <w:tc>
          <w:tcPr>
            <w:tcW w:w="15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 xml:space="preserve">云原生数据仓库 </w:t>
            </w:r>
          </w:p>
        </w:tc>
        <w:tc>
          <w:tcPr>
            <w:tcW w:w="32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规格：8核32GiB起，弹性模式</w:t>
            </w:r>
          </w:p>
        </w:tc>
        <w:tc>
          <w:tcPr>
            <w:tcW w:w="2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用于平台的历史数据分析和查询</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426" w:hRule="atLeast"/>
        </w:trPr>
        <w:tc>
          <w:tcPr>
            <w:tcW w:w="138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对象存储</w:t>
            </w:r>
          </w:p>
        </w:tc>
        <w:tc>
          <w:tcPr>
            <w:tcW w:w="1593"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对象存储 OSS</w:t>
            </w:r>
          </w:p>
        </w:tc>
        <w:tc>
          <w:tcPr>
            <w:tcW w:w="3217" w:type="dxa"/>
            <w:tcBorders>
              <w:bottom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存储容量：50 TiB 标准型</w:t>
            </w:r>
          </w:p>
        </w:tc>
        <w:tc>
          <w:tcPr>
            <w:tcW w:w="212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存储视频、图片、无人机影像、备份文件等海量非结构化数据</w:t>
            </w: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600" w:hRule="atLeast"/>
        </w:trPr>
        <w:tc>
          <w:tcPr>
            <w:tcW w:w="138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5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3217" w:type="dxa"/>
            <w:tcBorders>
              <w:top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增量：预计每月数TB</w:t>
            </w:r>
          </w:p>
        </w:tc>
        <w:tc>
          <w:tcPr>
            <w:tcW w:w="21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r>
      <w:tr>
        <w:tblPrEx>
          <w:tblBorders>
            <w:top w:val="single" w:color="7F7F7F" w:themeColor="text1" w:themeTint="7F" w:sz="2" w:space="0"/>
            <w:left w:val="single" w:color="7F7F7F" w:themeColor="text1" w:themeTint="7F" w:sz="2" w:space="0"/>
            <w:bottom w:val="single" w:color="7F7F7F" w:themeColor="text1" w:themeTint="7F" w:sz="2" w:space="0"/>
            <w:right w:val="single" w:color="7F7F7F" w:themeColor="text1" w:themeTint="7F" w:sz="2" w:space="0"/>
            <w:insideH w:val="single" w:color="7F7F7F" w:themeColor="text1" w:themeTint="7F" w:sz="2" w:space="0"/>
            <w:insideV w:val="single" w:color="7F7F7F" w:themeColor="text1" w:themeTint="7F" w:sz="2" w:space="0"/>
          </w:tblBorders>
          <w:tblCellMar>
            <w:top w:w="0" w:type="dxa"/>
            <w:left w:w="108" w:type="dxa"/>
            <w:bottom w:w="0" w:type="dxa"/>
            <w:right w:w="108" w:type="dxa"/>
          </w:tblCellMar>
        </w:tblPrEx>
        <w:trPr>
          <w:trHeight w:val="770" w:hRule="atLeast"/>
        </w:trPr>
        <w:tc>
          <w:tcPr>
            <w:tcW w:w="1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共享文件存储</w:t>
            </w:r>
          </w:p>
        </w:tc>
        <w:tc>
          <w:tcPr>
            <w:tcW w:w="159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文件存储 NAS</w:t>
            </w:r>
          </w:p>
        </w:tc>
        <w:tc>
          <w:tcPr>
            <w:tcW w:w="321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容量型：5 TiB</w:t>
            </w:r>
          </w:p>
        </w:tc>
        <w:tc>
          <w:tcPr>
            <w:tcW w:w="21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用于应用服务器间共享文件、日志集中存储</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before="360" w:after="240"/>
        <w:ind w:left="105" w:leftChars="50" w:firstLine="480"/>
        <w:jc w:val="left"/>
        <w:textAlignment w:val="auto"/>
        <w:rPr>
          <w:rFonts w:hint="default" w:asciiTheme="minorAscii" w:hAnsiTheme="minorAscii" w:eastAsiaTheme="minorEastAsia" w:cstheme="minorEastAsia"/>
          <w:b/>
          <w:bCs/>
          <w:color w:val="0F1115"/>
          <w:kern w:val="0"/>
          <w:sz w:val="18"/>
          <w:szCs w:val="18"/>
        </w:rPr>
      </w:pPr>
      <w:r>
        <w:rPr>
          <w:rFonts w:hint="default" w:asciiTheme="minorAscii" w:hAnsiTheme="minorAscii" w:eastAsiaTheme="minorEastAsia" w:cstheme="minorEastAsia"/>
          <w:b/>
          <w:bCs/>
          <w:color w:val="0F1115"/>
          <w:kern w:val="0"/>
          <w:sz w:val="18"/>
          <w:szCs w:val="18"/>
        </w:rPr>
        <w:t>③</w:t>
      </w:r>
      <w:r>
        <w:rPr>
          <w:rFonts w:hint="default" w:asciiTheme="minorAscii" w:hAnsiTheme="minorAscii" w:eastAsiaTheme="minorEastAsia" w:cstheme="minorEastAsia"/>
          <w:b/>
          <w:bCs/>
          <w:color w:val="0F1115"/>
          <w:kern w:val="0"/>
          <w:sz w:val="18"/>
          <w:szCs w:val="18"/>
          <w:lang w:val="en-US" w:eastAsia="zh-CN"/>
        </w:rPr>
        <w:t xml:space="preserve"> </w:t>
      </w:r>
      <w:r>
        <w:rPr>
          <w:rFonts w:hint="default" w:asciiTheme="minorAscii" w:hAnsiTheme="minorAscii" w:eastAsiaTheme="minorEastAsia" w:cstheme="minorEastAsia"/>
          <w:b/>
          <w:bCs/>
          <w:color w:val="0F1115"/>
          <w:kern w:val="0"/>
          <w:sz w:val="18"/>
          <w:szCs w:val="18"/>
        </w:rPr>
        <w:t>资源清单总结与核心配置</w:t>
      </w:r>
    </w:p>
    <w:tbl>
      <w:tblPr>
        <w:tblStyle w:val="18"/>
        <w:tblW w:w="8330" w:type="dxa"/>
        <w:tblInd w:w="99" w:type="dxa"/>
        <w:tblLayout w:type="autofit"/>
        <w:tblCellMar>
          <w:top w:w="0" w:type="dxa"/>
          <w:left w:w="108" w:type="dxa"/>
          <w:bottom w:w="0" w:type="dxa"/>
          <w:right w:w="108" w:type="dxa"/>
        </w:tblCellMar>
      </w:tblPr>
      <w:tblGrid>
        <w:gridCol w:w="2130"/>
        <w:gridCol w:w="3530"/>
        <w:gridCol w:w="2670"/>
      </w:tblGrid>
      <w:tr>
        <w:tblPrEx>
          <w:tblCellMar>
            <w:top w:w="0" w:type="dxa"/>
            <w:left w:w="108" w:type="dxa"/>
            <w:bottom w:w="0" w:type="dxa"/>
            <w:right w:w="108" w:type="dxa"/>
          </w:tblCellMar>
        </w:tblPrEx>
        <w:trPr>
          <w:trHeight w:val="435" w:hRule="atLeast"/>
          <w:tblHead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000000"/>
                <w:kern w:val="0"/>
                <w:sz w:val="18"/>
                <w:szCs w:val="18"/>
              </w:rPr>
            </w:pPr>
            <w:r>
              <w:rPr>
                <w:rFonts w:hint="default" w:asciiTheme="minorAscii" w:hAnsiTheme="minorAscii" w:eastAsiaTheme="minorEastAsia" w:cstheme="minorEastAsia"/>
                <w:b/>
                <w:bCs/>
                <w:color w:val="000000"/>
                <w:kern w:val="0"/>
                <w:sz w:val="18"/>
                <w:szCs w:val="18"/>
              </w:rPr>
              <w:t>资源类别</w:t>
            </w:r>
          </w:p>
        </w:tc>
        <w:tc>
          <w:tcPr>
            <w:tcW w:w="353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000000"/>
                <w:kern w:val="0"/>
                <w:sz w:val="18"/>
                <w:szCs w:val="18"/>
              </w:rPr>
            </w:pPr>
            <w:r>
              <w:rPr>
                <w:rFonts w:hint="default" w:asciiTheme="minorAscii" w:hAnsiTheme="minorAscii" w:eastAsiaTheme="minorEastAsia" w:cstheme="minorEastAsia"/>
                <w:b/>
                <w:bCs/>
                <w:color w:val="000000"/>
                <w:kern w:val="0"/>
                <w:sz w:val="18"/>
                <w:szCs w:val="18"/>
              </w:rPr>
              <w:t>核心规格摘要</w:t>
            </w:r>
          </w:p>
        </w:tc>
        <w:tc>
          <w:tcPr>
            <w:tcW w:w="267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Theme="minorAscii" w:hAnsiTheme="minorAscii" w:eastAsiaTheme="minorEastAsia" w:cstheme="minorEastAsia"/>
                <w:b/>
                <w:bCs/>
                <w:color w:val="000000"/>
                <w:kern w:val="0"/>
                <w:sz w:val="18"/>
                <w:szCs w:val="18"/>
              </w:rPr>
            </w:pPr>
            <w:r>
              <w:rPr>
                <w:rFonts w:hint="default" w:asciiTheme="minorAscii" w:hAnsiTheme="minorAscii" w:eastAsiaTheme="minorEastAsia" w:cstheme="minorEastAsia"/>
                <w:b/>
                <w:bCs/>
                <w:color w:val="000000"/>
                <w:kern w:val="0"/>
                <w:sz w:val="18"/>
                <w:szCs w:val="18"/>
              </w:rPr>
              <w:t>数量/容量</w:t>
            </w:r>
          </w:p>
        </w:tc>
      </w:tr>
      <w:tr>
        <w:tblPrEx>
          <w:tblCellMar>
            <w:top w:w="0" w:type="dxa"/>
            <w:left w:w="108" w:type="dxa"/>
            <w:bottom w:w="0" w:type="dxa"/>
            <w:right w:w="108" w:type="dxa"/>
          </w:tblCellMar>
        </w:tblPrEx>
        <w:trPr>
          <w:trHeight w:val="435" w:hRule="atLeast"/>
        </w:trPr>
        <w:tc>
          <w:tcPr>
            <w:tcW w:w="213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总计ECS vCPU</w:t>
            </w:r>
          </w:p>
        </w:tc>
        <w:tc>
          <w:tcPr>
            <w:tcW w:w="353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约 144 核心</w:t>
            </w:r>
          </w:p>
        </w:tc>
        <w:tc>
          <w:tcPr>
            <w:tcW w:w="26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lang w:eastAsia="zh-CN"/>
              </w:rPr>
            </w:pPr>
            <w:r>
              <w:rPr>
                <w:rFonts w:hint="default" w:asciiTheme="minorAscii" w:hAnsiTheme="minorAscii" w:eastAsiaTheme="minorEastAsia" w:cstheme="minorEastAsia"/>
                <w:b/>
                <w:bCs/>
                <w:kern w:val="0"/>
                <w:sz w:val="18"/>
                <w:szCs w:val="18"/>
                <w:lang w:eastAsia="zh-CN"/>
              </w:rPr>
              <w:t>——</w:t>
            </w:r>
          </w:p>
        </w:tc>
      </w:tr>
      <w:tr>
        <w:tblPrEx>
          <w:tblCellMar>
            <w:top w:w="0" w:type="dxa"/>
            <w:left w:w="108" w:type="dxa"/>
            <w:bottom w:w="0" w:type="dxa"/>
            <w:right w:w="108" w:type="dxa"/>
          </w:tblCellMar>
        </w:tblPrEx>
        <w:trPr>
          <w:trHeight w:val="435" w:hRule="atLeast"/>
        </w:trPr>
        <w:tc>
          <w:tcPr>
            <w:tcW w:w="213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总计ECS 内存</w:t>
            </w:r>
          </w:p>
        </w:tc>
        <w:tc>
          <w:tcPr>
            <w:tcW w:w="353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约 512 GiB</w:t>
            </w:r>
          </w:p>
        </w:tc>
        <w:tc>
          <w:tcPr>
            <w:tcW w:w="26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lang w:eastAsia="zh-CN"/>
              </w:rPr>
              <w:t>——</w:t>
            </w:r>
          </w:p>
        </w:tc>
      </w:tr>
      <w:tr>
        <w:tblPrEx>
          <w:tblCellMar>
            <w:top w:w="0" w:type="dxa"/>
            <w:left w:w="108" w:type="dxa"/>
            <w:bottom w:w="0" w:type="dxa"/>
            <w:right w:w="108" w:type="dxa"/>
          </w:tblCellMar>
        </w:tblPrEx>
        <w:trPr>
          <w:trHeight w:val="435" w:hRule="atLeast"/>
        </w:trPr>
        <w:tc>
          <w:tcPr>
            <w:tcW w:w="213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GPU资源</w:t>
            </w:r>
          </w:p>
        </w:tc>
        <w:tc>
          <w:tcPr>
            <w:tcW w:w="353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不低于16GB人工智能计算加速卡</w:t>
            </w:r>
          </w:p>
        </w:tc>
        <w:tc>
          <w:tcPr>
            <w:tcW w:w="26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2张卡</w:t>
            </w:r>
          </w:p>
        </w:tc>
      </w:tr>
      <w:tr>
        <w:tblPrEx>
          <w:tblCellMar>
            <w:top w:w="0" w:type="dxa"/>
            <w:left w:w="108" w:type="dxa"/>
            <w:bottom w:w="0" w:type="dxa"/>
            <w:right w:w="108" w:type="dxa"/>
          </w:tblCellMar>
        </w:tblPrEx>
        <w:trPr>
          <w:trHeight w:val="435" w:hRule="atLeast"/>
        </w:trPr>
        <w:tc>
          <w:tcPr>
            <w:tcW w:w="213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ECS实例总数</w:t>
            </w:r>
          </w:p>
        </w:tc>
        <w:tc>
          <w:tcPr>
            <w:tcW w:w="353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约 11 台</w:t>
            </w:r>
          </w:p>
        </w:tc>
        <w:tc>
          <w:tcPr>
            <w:tcW w:w="26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lang w:eastAsia="zh-CN"/>
              </w:rPr>
              <w:t>——</w:t>
            </w:r>
          </w:p>
        </w:tc>
      </w:tr>
      <w:tr>
        <w:tblPrEx>
          <w:tblCellMar>
            <w:top w:w="0" w:type="dxa"/>
            <w:left w:w="108" w:type="dxa"/>
            <w:bottom w:w="0" w:type="dxa"/>
            <w:right w:w="108" w:type="dxa"/>
          </w:tblCellMar>
        </w:tblPrEx>
        <w:trPr>
          <w:trHeight w:val="435" w:hRule="atLeast"/>
        </w:trPr>
        <w:tc>
          <w:tcPr>
            <w:tcW w:w="213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数据库</w:t>
            </w:r>
          </w:p>
        </w:tc>
        <w:tc>
          <w:tcPr>
            <w:tcW w:w="353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RDS (8C16G), Redis (4G), AnalyticDB</w:t>
            </w:r>
          </w:p>
        </w:tc>
        <w:tc>
          <w:tcPr>
            <w:tcW w:w="26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各1主实例</w:t>
            </w:r>
          </w:p>
        </w:tc>
      </w:tr>
      <w:tr>
        <w:tblPrEx>
          <w:tblCellMar>
            <w:top w:w="0" w:type="dxa"/>
            <w:left w:w="108" w:type="dxa"/>
            <w:bottom w:w="0" w:type="dxa"/>
            <w:right w:w="108" w:type="dxa"/>
          </w:tblCellMar>
        </w:tblPrEx>
        <w:trPr>
          <w:trHeight w:val="435" w:hRule="atLeast"/>
        </w:trPr>
        <w:tc>
          <w:tcPr>
            <w:tcW w:w="213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对象存储</w:t>
            </w:r>
          </w:p>
        </w:tc>
        <w:tc>
          <w:tcPr>
            <w:tcW w:w="353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OSS</w:t>
            </w:r>
          </w:p>
        </w:tc>
        <w:tc>
          <w:tcPr>
            <w:tcW w:w="26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50 TB起始</w:t>
            </w:r>
          </w:p>
        </w:tc>
      </w:tr>
      <w:tr>
        <w:tblPrEx>
          <w:tblCellMar>
            <w:top w:w="0" w:type="dxa"/>
            <w:left w:w="108" w:type="dxa"/>
            <w:bottom w:w="0" w:type="dxa"/>
            <w:right w:w="108" w:type="dxa"/>
          </w:tblCellMar>
        </w:tblPrEx>
        <w:trPr>
          <w:trHeight w:val="699" w:hRule="atLeast"/>
        </w:trPr>
        <w:tc>
          <w:tcPr>
            <w:tcW w:w="213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网络与安全</w:t>
            </w:r>
          </w:p>
        </w:tc>
        <w:tc>
          <w:tcPr>
            <w:tcW w:w="353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DDoS高防(20G)、WAF、云防火墙、云安全中心(企业版)</w:t>
            </w:r>
          </w:p>
        </w:tc>
        <w:tc>
          <w:tcPr>
            <w:tcW w:w="26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各1套</w:t>
            </w:r>
          </w:p>
        </w:tc>
      </w:tr>
      <w:tr>
        <w:tblPrEx>
          <w:tblCellMar>
            <w:top w:w="0" w:type="dxa"/>
            <w:left w:w="108" w:type="dxa"/>
            <w:bottom w:w="0" w:type="dxa"/>
            <w:right w:w="108" w:type="dxa"/>
          </w:tblCellMar>
        </w:tblPrEx>
        <w:trPr>
          <w:trHeight w:val="437" w:hRule="atLeast"/>
        </w:trPr>
        <w:tc>
          <w:tcPr>
            <w:tcW w:w="213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备份与审计</w:t>
            </w:r>
          </w:p>
        </w:tc>
        <w:tc>
          <w:tcPr>
            <w:tcW w:w="353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云服务器备份、日志服务(500GB/月)</w:t>
            </w:r>
          </w:p>
        </w:tc>
        <w:tc>
          <w:tcPr>
            <w:tcW w:w="26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各1套</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before="360"/>
        <w:ind w:firstLine="480"/>
        <w:jc w:val="left"/>
        <w:textAlignment w:val="auto"/>
        <w:rPr>
          <w:rFonts w:hint="default" w:asciiTheme="minorAscii" w:hAnsiTheme="minorAscii" w:eastAsiaTheme="minorEastAsia" w:cstheme="minorEastAsia"/>
          <w:color w:val="0F1115"/>
          <w:kern w:val="0"/>
          <w:sz w:val="18"/>
          <w:szCs w:val="18"/>
        </w:rPr>
      </w:pPr>
      <w:r>
        <w:rPr>
          <w:rFonts w:hint="default" w:asciiTheme="minorAscii" w:hAnsiTheme="minorAscii" w:eastAsiaTheme="minorEastAsia" w:cstheme="minorEastAsia"/>
          <w:color w:val="0F1115"/>
          <w:kern w:val="0"/>
          <w:sz w:val="18"/>
          <w:szCs w:val="18"/>
        </w:rPr>
        <w:t>Ⅴ</w:t>
      </w:r>
      <w:r>
        <w:rPr>
          <w:rFonts w:hint="default" w:asciiTheme="minorAscii" w:hAnsiTheme="minorAscii" w:eastAsiaTheme="minorEastAsia" w:cstheme="minorEastAsia"/>
          <w:color w:val="0F1115"/>
          <w:kern w:val="0"/>
          <w:sz w:val="18"/>
          <w:szCs w:val="18"/>
          <w:lang w:val="en-US" w:eastAsia="zh-CN"/>
        </w:rPr>
        <w:t xml:space="preserve">. </w:t>
      </w:r>
      <w:r>
        <w:rPr>
          <w:rFonts w:hint="default" w:asciiTheme="minorAscii" w:hAnsiTheme="minorAscii" w:eastAsiaTheme="minorEastAsia" w:cstheme="minorEastAsia"/>
          <w:color w:val="0F1115"/>
          <w:kern w:val="0"/>
          <w:sz w:val="18"/>
          <w:szCs w:val="18"/>
        </w:rPr>
        <w:t>云安全产品配置清单</w:t>
      </w:r>
    </w:p>
    <w:p>
      <w:pPr>
        <w:bidi w:val="0"/>
        <w:rPr>
          <w:rFonts w:hint="default" w:asciiTheme="minorAscii" w:hAnsiTheme="minorAscii" w:eastAsiaTheme="minorEastAsia" w:cstheme="minorEastAsia"/>
          <w:b/>
          <w:bCs/>
          <w:sz w:val="18"/>
          <w:szCs w:val="18"/>
        </w:rPr>
      </w:pPr>
      <w:r>
        <w:rPr>
          <w:rFonts w:hint="default" w:asciiTheme="minorAscii" w:hAnsiTheme="minorAscii" w:eastAsiaTheme="minorEastAsia" w:cstheme="minorEastAsia"/>
          <w:b/>
          <w:bCs/>
          <w:sz w:val="18"/>
          <w:szCs w:val="18"/>
        </w:rPr>
        <w:t>1</w:t>
      </w:r>
      <w:r>
        <w:rPr>
          <w:rFonts w:hint="default" w:asciiTheme="minorAscii" w:hAnsiTheme="minorAscii" w:eastAsiaTheme="minorEastAsia" w:cstheme="minorEastAsia"/>
          <w:b/>
          <w:bCs/>
          <w:sz w:val="18"/>
          <w:szCs w:val="18"/>
          <w:lang w:eastAsia="zh-CN"/>
        </w:rPr>
        <w:t>）</w:t>
      </w:r>
      <w:r>
        <w:rPr>
          <w:rFonts w:hint="default" w:asciiTheme="minorAscii" w:hAnsiTheme="minorAscii" w:eastAsiaTheme="minorEastAsia" w:cstheme="minorEastAsia"/>
          <w:b/>
          <w:bCs/>
          <w:sz w:val="18"/>
          <w:szCs w:val="18"/>
        </w:rPr>
        <w:t xml:space="preserve"> 网络边界防护与DDoS防护</w:t>
      </w:r>
    </w:p>
    <w:p>
      <w:pPr>
        <w:bidi w:val="0"/>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目标：防御外部流量攻击和入侵，确保业务入口安全。</w:t>
      </w:r>
    </w:p>
    <w:tbl>
      <w:tblPr>
        <w:tblStyle w:val="19"/>
        <w:tblW w:w="829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898"/>
        <w:gridCol w:w="5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81"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需求</w:t>
            </w:r>
          </w:p>
        </w:tc>
        <w:tc>
          <w:tcPr>
            <w:tcW w:w="1898"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云产品建议</w:t>
            </w:r>
          </w:p>
        </w:tc>
        <w:tc>
          <w:tcPr>
            <w:tcW w:w="5111"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具体配置建议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1281"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DDoS高防</w:t>
            </w:r>
          </w:p>
        </w:tc>
        <w:tc>
          <w:tcPr>
            <w:tcW w:w="1898"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DDoS高防（IP高防）</w:t>
            </w:r>
          </w:p>
        </w:tc>
        <w:tc>
          <w:tcPr>
            <w:tcW w:w="5111"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规格选择：根据业务带宽和潜在攻击规模选择，起步建议选择10Gbps～20Gbps的保底防护带宽，并开启弹性防护。</w:t>
            </w:r>
            <w:r>
              <w:rPr>
                <w:rFonts w:hint="default" w:asciiTheme="minorAscii" w:hAnsiTheme="minorAscii" w:eastAsiaTheme="minorEastAsia" w:cstheme="minorEastAsia"/>
                <w:b/>
                <w:bCs/>
                <w:kern w:val="0"/>
                <w:sz w:val="18"/>
                <w:szCs w:val="18"/>
              </w:rPr>
              <w:br w:type="textWrapping"/>
            </w:r>
            <w:r>
              <w:rPr>
                <w:rFonts w:hint="default" w:asciiTheme="minorAscii" w:hAnsiTheme="minorAscii" w:eastAsiaTheme="minorEastAsia" w:cstheme="minorEastAsia"/>
                <w:b/>
                <w:bCs/>
                <w:kern w:val="0"/>
                <w:sz w:val="18"/>
                <w:szCs w:val="18"/>
              </w:rPr>
              <w:t>配置要点：将您的业务域名或对外服务的公网IP切换到高防的CNAME地址或高防IP上。确保所有公网流量都经过高防清洗。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4" w:hRule="atLeast"/>
        </w:trPr>
        <w:tc>
          <w:tcPr>
            <w:tcW w:w="1281"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下一代防火墙/WAF</w:t>
            </w:r>
          </w:p>
        </w:tc>
        <w:tc>
          <w:tcPr>
            <w:tcW w:w="1898"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Web应用防火墙（WAF）+云防火墙</w:t>
            </w:r>
          </w:p>
        </w:tc>
        <w:tc>
          <w:tcPr>
            <w:tcW w:w="5111"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WAF配置：</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部署模式：采用云原生模式（CNAME接入）或反向代理模式，防护所有Web业务（如监察督办、信息发布平台）。</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防护策略：启用OWASP Core Rule Set，开启防爬虫、CC攻击防护、SQL注入、XSS等核心规则。</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黑白名单：根据业务需要，设置IP白名单（如办公室出口IP）、黑名单。</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云防火墙配置：</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作用：作为VPC的南北向和东西向防火墙。</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访问控制：配置严格的入侵防御（IPS）策略，订阅最新漏洞特征库。启用防病毒（AV）引擎，对通过防火墙的流量进行病毒扫描。</w:t>
            </w:r>
            <w:r>
              <w:rPr>
                <w:rFonts w:hint="default" w:asciiTheme="minorAscii" w:hAnsiTheme="minorAscii" w:eastAsiaTheme="minorEastAsia" w:cstheme="minorEastAsia"/>
                <w:b/>
                <w:bCs/>
                <w:kern w:val="0"/>
                <w:sz w:val="18"/>
                <w:szCs w:val="18"/>
              </w:rPr>
              <w:br w:type="textWrapping"/>
            </w:r>
            <w:r>
              <w:rPr>
                <w:rFonts w:hint="default" w:asciiTheme="minorAscii" w:hAnsiTheme="minorAscii" w:eastAsiaTheme="minorEastAsia" w:cstheme="minorEastAsia"/>
                <w:b/>
                <w:bCs/>
                <w:kern w:val="0"/>
                <w:sz w:val="18"/>
                <w:szCs w:val="18"/>
              </w:rPr>
              <w:t>策略细化：根据业务端口，只开放必要的服务端口（如80, 443, SSH远程管理端口），并限制源IP。</w:t>
            </w:r>
          </w:p>
        </w:tc>
      </w:tr>
    </w:tbl>
    <w:p>
      <w:pPr>
        <w:keepNext w:val="0"/>
        <w:keepLines w:val="0"/>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b/>
          <w:bCs/>
          <w:sz w:val="18"/>
          <w:szCs w:val="18"/>
        </w:rPr>
      </w:pPr>
      <w:r>
        <w:rPr>
          <w:rFonts w:hint="default" w:asciiTheme="minorAscii" w:hAnsiTheme="minorAscii" w:eastAsiaTheme="minorEastAsia" w:cstheme="minorEastAsia"/>
          <w:b/>
          <w:bCs/>
          <w:sz w:val="18"/>
          <w:szCs w:val="18"/>
        </w:rPr>
        <w:t>2</w:t>
      </w:r>
      <w:r>
        <w:rPr>
          <w:rFonts w:hint="default" w:asciiTheme="minorAscii" w:hAnsiTheme="minorAscii" w:eastAsiaTheme="minorEastAsia" w:cstheme="minorEastAsia"/>
          <w:b/>
          <w:bCs/>
          <w:sz w:val="18"/>
          <w:szCs w:val="18"/>
          <w:lang w:eastAsia="zh-CN"/>
        </w:rPr>
        <w:t>）</w:t>
      </w:r>
      <w:r>
        <w:rPr>
          <w:rFonts w:hint="default" w:asciiTheme="minorAscii" w:hAnsiTheme="minorAscii" w:eastAsiaTheme="minorEastAsia" w:cstheme="minorEastAsia"/>
          <w:b/>
          <w:bCs/>
          <w:sz w:val="18"/>
          <w:szCs w:val="18"/>
        </w:rPr>
        <w:t xml:space="preserve"> 入侵检测与防御</w:t>
      </w:r>
    </w:p>
    <w:p>
      <w:pPr>
        <w:bidi w:val="0"/>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目标：在网络层和主机层实时检测并阻断恶意行为。</w:t>
      </w:r>
    </w:p>
    <w:tbl>
      <w:tblPr>
        <w:tblStyle w:val="19"/>
        <w:tblW w:w="829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900"/>
        <w:gridCol w:w="5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blHeader/>
        </w:trPr>
        <w:tc>
          <w:tcPr>
            <w:tcW w:w="131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需求</w:t>
            </w:r>
          </w:p>
        </w:tc>
        <w:tc>
          <w:tcPr>
            <w:tcW w:w="190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云产品建议</w:t>
            </w:r>
          </w:p>
        </w:tc>
        <w:tc>
          <w:tcPr>
            <w:tcW w:w="508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具体配置建议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31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NIDS/NIPS</w:t>
            </w:r>
          </w:p>
        </w:tc>
        <w:tc>
          <w:tcPr>
            <w:tcW w:w="190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云防火墙（IPS模块）</w:t>
            </w:r>
          </w:p>
        </w:tc>
        <w:tc>
          <w:tcPr>
            <w:tcW w:w="508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云防火墙的IPS功能即充当了网络层的入侵防护系统。需确保IPS策略为拦截模式，而不仅仅是观察模式。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4" w:hRule="atLeast"/>
        </w:trPr>
        <w:tc>
          <w:tcPr>
            <w:tcW w:w="131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HIDS</w:t>
            </w:r>
          </w:p>
        </w:tc>
        <w:tc>
          <w:tcPr>
            <w:tcW w:w="190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云安全中心（安骑士）或主机安全（云镜）</w:t>
            </w:r>
          </w:p>
        </w:tc>
        <w:tc>
          <w:tcPr>
            <w:tcW w:w="508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安装：在所有Linux云主机上安装Agent。</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核心功能配置：</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漏洞管理：定期自动扫描系统漏洞和Web-CMS漏洞，并一键修复。</w:t>
            </w:r>
            <w:r>
              <w:rPr>
                <w:rFonts w:hint="default" w:asciiTheme="minorAscii" w:hAnsiTheme="minorAscii" w:eastAsiaTheme="minorEastAsia" w:cstheme="minorEastAsia"/>
                <w:b/>
                <w:bCs/>
                <w:kern w:val="0"/>
                <w:sz w:val="18"/>
                <w:szCs w:val="18"/>
              </w:rPr>
              <w:br w:type="textWrapping"/>
            </w:r>
            <w:r>
              <w:rPr>
                <w:rFonts w:hint="default" w:asciiTheme="minorAscii" w:hAnsiTheme="minorAscii" w:eastAsiaTheme="minorEastAsia" w:cstheme="minorEastAsia"/>
                <w:b/>
                <w:bCs/>
                <w:kern w:val="0"/>
                <w:sz w:val="18"/>
                <w:szCs w:val="18"/>
              </w:rPr>
              <w:t>入侵检测：开启异常登录、密码破解、恶意进程、反弹Shell、本地提权等检测项。</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基线检查：按照等保三级标准进行安全配置检查，如密码策略、不必要的服务等。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131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杀毒软件</w:t>
            </w:r>
          </w:p>
        </w:tc>
        <w:tc>
          <w:tcPr>
            <w:tcW w:w="190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云安全中心（杀毒功能）</w:t>
            </w:r>
          </w:p>
        </w:tc>
        <w:tc>
          <w:tcPr>
            <w:tcW w:w="508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该产品已集成病毒查杀功能。确保其病毒库为自动更新状态。</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配置定期全盘扫描任务（如每周一次），并对关键目录进行实时监控。</w:t>
            </w:r>
          </w:p>
        </w:tc>
      </w:tr>
    </w:tbl>
    <w:p>
      <w:pPr>
        <w:keepNext w:val="0"/>
        <w:keepLines w:val="0"/>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b/>
          <w:bCs/>
          <w:sz w:val="18"/>
          <w:szCs w:val="18"/>
        </w:rPr>
      </w:pPr>
      <w:r>
        <w:rPr>
          <w:rFonts w:hint="default" w:asciiTheme="minorAscii" w:hAnsiTheme="minorAscii" w:eastAsiaTheme="minorEastAsia" w:cstheme="minorEastAsia"/>
          <w:b/>
          <w:bCs/>
          <w:sz w:val="18"/>
          <w:szCs w:val="18"/>
        </w:rPr>
        <w:t>3</w:t>
      </w:r>
      <w:r>
        <w:rPr>
          <w:rFonts w:hint="default" w:asciiTheme="minorAscii" w:hAnsiTheme="minorAscii" w:eastAsiaTheme="minorEastAsia" w:cstheme="minorEastAsia"/>
          <w:b/>
          <w:bCs/>
          <w:sz w:val="18"/>
          <w:szCs w:val="18"/>
          <w:lang w:eastAsia="zh-CN"/>
        </w:rPr>
        <w:t>）</w:t>
      </w:r>
      <w:r>
        <w:rPr>
          <w:rFonts w:hint="default" w:asciiTheme="minorAscii" w:hAnsiTheme="minorAscii" w:eastAsiaTheme="minorEastAsia" w:cstheme="minorEastAsia"/>
          <w:b/>
          <w:bCs/>
          <w:sz w:val="18"/>
          <w:szCs w:val="18"/>
        </w:rPr>
        <w:t xml:space="preserve"> 统一安全审计与日志分析（SIEM/SOC）</w:t>
      </w:r>
    </w:p>
    <w:p>
      <w:pPr>
        <w:bidi w:val="0"/>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目标：集中收集和分析所有日志，实现安全事件的可追溯、可预警。</w:t>
      </w:r>
    </w:p>
    <w:tbl>
      <w:tblPr>
        <w:tblStyle w:val="19"/>
        <w:tblW w:w="830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890"/>
        <w:gridCol w:w="5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blHeader/>
        </w:trPr>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需求</w:t>
            </w:r>
          </w:p>
        </w:tc>
        <w:tc>
          <w:tcPr>
            <w:tcW w:w="189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云产品建议</w:t>
            </w:r>
          </w:p>
        </w:tc>
        <w:tc>
          <w:tcPr>
            <w:tcW w:w="509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具体配置建议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日志采集与存储</w:t>
            </w:r>
          </w:p>
        </w:tc>
        <w:tc>
          <w:tcPr>
            <w:tcW w:w="189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日志服务（SLS）</w:t>
            </w:r>
          </w:p>
        </w:tc>
        <w:tc>
          <w:tcPr>
            <w:tcW w:w="509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创建Project和Logstore：为安全日志创建独立的Project，例如security-audit-project。</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数据采集：</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主机日志：通过云安全中心Agent或Logtail Agent，采集Linux主机的/var/log/secure（登录日志）、/var/log/audit/audit.log（审计日志）等。</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网络日志：配置云防火墙、WAF、DDoS高防将攻击日志、访问日志推送到SLS。</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其他日志：收集负载均衡、数据库审计等组件的日志。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trPr>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SIEM/SOC分析</w:t>
            </w:r>
          </w:p>
        </w:tc>
        <w:tc>
          <w:tcPr>
            <w:tcW w:w="189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云安全中心（高级版/企业版）或日志服务（告警与仪表盘）</w:t>
            </w:r>
          </w:p>
        </w:tc>
        <w:tc>
          <w:tcPr>
            <w:tcW w:w="509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方案一（推荐）：购买云安全中心（高级版/企业版），它本身就是一个轻量级SOC。它能自动关联来自主机、网络、Web的日志，生成安全告警，并在控制台呈现统一的安全态势。</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方案二（自定义）：使用日志服务（SLS）的查询和分析能力：</w:t>
            </w:r>
            <w:r>
              <w:rPr>
                <w:rFonts w:hint="default" w:asciiTheme="minorAscii" w:hAnsiTheme="minorAscii" w:eastAsiaTheme="minorEastAsia" w:cstheme="minorEastAsia"/>
                <w:b/>
                <w:bCs/>
                <w:kern w:val="0"/>
                <w:sz w:val="18"/>
                <w:szCs w:val="18"/>
              </w:rPr>
              <w:br w:type="textWrapping"/>
            </w:r>
            <w:r>
              <w:rPr>
                <w:rFonts w:hint="default" w:asciiTheme="minorAscii" w:hAnsiTheme="minorAscii" w:eastAsiaTheme="minorEastAsia" w:cstheme="minorEastAsia"/>
                <w:b/>
                <w:bCs/>
                <w:kern w:val="0"/>
                <w:sz w:val="18"/>
                <w:szCs w:val="18"/>
              </w:rPr>
              <w:t>制作仪表盘：创建“等保审计仪表盘”，展示登录失败地图、攻击源TOP、关键操作日志等。</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设置告警：编写SQL查询规则，例如：5分钟内同一IP密码错误超过10次，并配置通过短信、邮件或钉钉发送告警。</w:t>
            </w:r>
          </w:p>
        </w:tc>
      </w:tr>
    </w:tbl>
    <w:p>
      <w:pPr>
        <w:keepNext w:val="0"/>
        <w:keepLines w:val="0"/>
        <w:pageBreakBefore w:val="0"/>
        <w:widowControl w:val="0"/>
        <w:kinsoku/>
        <w:wordWrap/>
        <w:overflowPunct/>
        <w:topLinePunct w:val="0"/>
        <w:autoSpaceDE/>
        <w:autoSpaceDN/>
        <w:bidi w:val="0"/>
        <w:adjustRightInd/>
        <w:snapToGrid w:val="0"/>
        <w:spacing w:before="333" w:beforeLines="100"/>
        <w:textAlignment w:val="auto"/>
        <w:rPr>
          <w:rFonts w:hint="default" w:asciiTheme="minorAscii" w:hAnsiTheme="minorAscii" w:eastAsiaTheme="minorEastAsia" w:cstheme="minorEastAsia"/>
          <w:b/>
          <w:bCs/>
          <w:sz w:val="18"/>
          <w:szCs w:val="18"/>
        </w:rPr>
      </w:pPr>
      <w:r>
        <w:rPr>
          <w:rFonts w:hint="default" w:asciiTheme="minorAscii" w:hAnsiTheme="minorAscii" w:eastAsiaTheme="minorEastAsia" w:cstheme="minorEastAsia"/>
          <w:b/>
          <w:bCs/>
          <w:sz w:val="18"/>
          <w:szCs w:val="18"/>
        </w:rPr>
        <w:t>4</w:t>
      </w:r>
      <w:r>
        <w:rPr>
          <w:rFonts w:hint="default" w:asciiTheme="minorAscii" w:hAnsiTheme="minorAscii" w:eastAsiaTheme="minorEastAsia" w:cstheme="minorEastAsia"/>
          <w:b/>
          <w:bCs/>
          <w:sz w:val="18"/>
          <w:szCs w:val="18"/>
          <w:lang w:eastAsia="zh-CN"/>
        </w:rPr>
        <w:t>）</w:t>
      </w:r>
      <w:r>
        <w:rPr>
          <w:rFonts w:hint="default" w:asciiTheme="minorAscii" w:hAnsiTheme="minorAscii" w:eastAsiaTheme="minorEastAsia" w:cstheme="minorEastAsia"/>
          <w:b/>
          <w:bCs/>
          <w:sz w:val="18"/>
          <w:szCs w:val="18"/>
        </w:rPr>
        <w:t xml:space="preserve"> 容灾备份</w:t>
      </w:r>
    </w:p>
    <w:p>
      <w:pPr>
        <w:bidi w:val="0"/>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目标：确保数据安全和业务高可用，防止数据丢失。</w:t>
      </w:r>
    </w:p>
    <w:tbl>
      <w:tblPr>
        <w:tblStyle w:val="19"/>
        <w:tblW w:w="829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900"/>
        <w:gridCol w:w="5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需求</w:t>
            </w:r>
          </w:p>
        </w:tc>
        <w:tc>
          <w:tcPr>
            <w:tcW w:w="190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云产品建议</w:t>
            </w:r>
          </w:p>
        </w:tc>
        <w:tc>
          <w:tcPr>
            <w:tcW w:w="507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具体配置建议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trPr>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系统与数据备份</w:t>
            </w:r>
          </w:p>
        </w:tc>
        <w:tc>
          <w:tcPr>
            <w:tcW w:w="190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云服务器备份或快照+数据库备份</w:t>
            </w:r>
          </w:p>
        </w:tc>
        <w:tc>
          <w:tcPr>
            <w:tcW w:w="507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备份策略：</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全量备份：每周对Linux虚拟机进行一次全量备份或整机快照。</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增量备份：每天进行增量备份。</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保留策略：全量备份保留3个月，增量备份保留7天。</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恢复演练：每季度至少进行一次备份恢复演练，确保备份有效性。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异地容灾</w:t>
            </w:r>
          </w:p>
        </w:tc>
        <w:tc>
          <w:tcPr>
            <w:tcW w:w="190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存储库异地复制</w:t>
            </w:r>
          </w:p>
        </w:tc>
        <w:tc>
          <w:tcPr>
            <w:tcW w:w="507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为云服务器备份的存储库开启跨区域复制功能，将备份数据复制到另一个地域（如从华东1复制到华东2），实现异地容灾。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32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应用高可用</w:t>
            </w:r>
          </w:p>
        </w:tc>
        <w:tc>
          <w:tcPr>
            <w:tcW w:w="190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负载均衡</w:t>
            </w:r>
          </w:p>
        </w:tc>
        <w:tc>
          <w:tcPr>
            <w:tcW w:w="5070" w:type="dxa"/>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将云主机分散部署在同一个地域的至少2个不同可用区。</w:t>
            </w:r>
          </w:p>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为Web/Application层服务配置负载均衡，实现流量分发和故障切换。</w:t>
            </w:r>
          </w:p>
        </w:tc>
      </w:tr>
    </w:tbl>
    <w:p>
      <w:pPr>
        <w:keepNext w:val="0"/>
        <w:keepLines w:val="0"/>
        <w:pageBreakBefore w:val="0"/>
        <w:widowControl w:val="0"/>
        <w:kinsoku/>
        <w:wordWrap/>
        <w:overflowPunct/>
        <w:topLinePunct w:val="0"/>
        <w:autoSpaceDE/>
        <w:autoSpaceDN/>
        <w:bidi w:val="0"/>
        <w:adjustRightInd/>
        <w:snapToGrid w:val="0"/>
        <w:spacing w:before="499" w:beforeLines="150" w:after="167" w:afterLines="50"/>
        <w:textAlignment w:val="auto"/>
        <w:rPr>
          <w:rFonts w:hint="default" w:asciiTheme="minorAscii" w:hAnsiTheme="minorAscii" w:eastAsiaTheme="minorEastAsia" w:cstheme="minorEastAsia"/>
          <w:b/>
          <w:bCs/>
          <w:sz w:val="18"/>
          <w:szCs w:val="18"/>
        </w:rPr>
      </w:pPr>
      <w:r>
        <w:rPr>
          <w:rFonts w:hint="default" w:asciiTheme="minorAscii" w:hAnsiTheme="minorAscii" w:eastAsiaTheme="minorEastAsia" w:cstheme="minorEastAsia"/>
          <w:b/>
          <w:bCs/>
          <w:sz w:val="18"/>
          <w:szCs w:val="18"/>
        </w:rPr>
        <w:t>5</w:t>
      </w:r>
      <w:r>
        <w:rPr>
          <w:rFonts w:hint="default" w:asciiTheme="minorAscii" w:hAnsiTheme="minorAscii" w:eastAsiaTheme="minorEastAsia" w:cstheme="minorEastAsia"/>
          <w:b/>
          <w:bCs/>
          <w:sz w:val="18"/>
          <w:szCs w:val="18"/>
          <w:lang w:eastAsia="zh-CN"/>
        </w:rPr>
        <w:t>）</w:t>
      </w:r>
      <w:r>
        <w:rPr>
          <w:rFonts w:hint="default" w:asciiTheme="minorAscii" w:hAnsiTheme="minorAscii" w:eastAsiaTheme="minorEastAsia" w:cstheme="minorEastAsia"/>
          <w:b/>
          <w:bCs/>
          <w:sz w:val="18"/>
          <w:szCs w:val="18"/>
        </w:rPr>
        <w:t>资源清单总结与核心配置</w:t>
      </w:r>
    </w:p>
    <w:tbl>
      <w:tblPr>
        <w:tblStyle w:val="18"/>
        <w:tblW w:w="8987" w:type="dxa"/>
        <w:tblInd w:w="119" w:type="dxa"/>
        <w:tblLayout w:type="autofit"/>
        <w:tblCellMar>
          <w:top w:w="0" w:type="dxa"/>
          <w:left w:w="108" w:type="dxa"/>
          <w:bottom w:w="0" w:type="dxa"/>
          <w:right w:w="108" w:type="dxa"/>
        </w:tblCellMar>
      </w:tblPr>
      <w:tblGrid>
        <w:gridCol w:w="1360"/>
        <w:gridCol w:w="1896"/>
        <w:gridCol w:w="3050"/>
        <w:gridCol w:w="2681"/>
      </w:tblGrid>
      <w:tr>
        <w:tblPrEx>
          <w:tblCellMar>
            <w:top w:w="0" w:type="dxa"/>
            <w:left w:w="108" w:type="dxa"/>
            <w:bottom w:w="0" w:type="dxa"/>
            <w:right w:w="108" w:type="dxa"/>
          </w:tblCellMar>
        </w:tblPrEx>
        <w:trPr>
          <w:trHeight w:val="550" w:hRule="atLeast"/>
          <w:tblHeader/>
        </w:trPr>
        <w:tc>
          <w:tcPr>
            <w:tcW w:w="13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资源类型</w:t>
            </w:r>
          </w:p>
        </w:tc>
        <w:tc>
          <w:tcPr>
            <w:tcW w:w="189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云产品</w:t>
            </w:r>
          </w:p>
        </w:tc>
        <w:tc>
          <w:tcPr>
            <w:tcW w:w="305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lang w:val="en-US" w:eastAsia="zh-CN"/>
              </w:rPr>
            </w:pPr>
            <w:r>
              <w:rPr>
                <w:rFonts w:hint="default" w:asciiTheme="minorAscii" w:hAnsiTheme="minorAscii" w:eastAsiaTheme="minorEastAsia" w:cstheme="minorEastAsia"/>
                <w:b/>
                <w:bCs/>
                <w:kern w:val="0"/>
                <w:sz w:val="18"/>
                <w:szCs w:val="18"/>
              </w:rPr>
              <w:t>配置</w:t>
            </w:r>
            <w:r>
              <w:rPr>
                <w:rFonts w:hint="default" w:asciiTheme="minorAscii" w:hAnsiTheme="minorAscii" w:eastAsiaTheme="minorEastAsia" w:cstheme="minorEastAsia"/>
                <w:b/>
                <w:bCs/>
                <w:kern w:val="0"/>
                <w:sz w:val="18"/>
                <w:szCs w:val="18"/>
                <w:lang w:val="en-US" w:eastAsia="zh-CN"/>
              </w:rPr>
              <w:t>要求</w:t>
            </w:r>
          </w:p>
        </w:tc>
        <w:tc>
          <w:tcPr>
            <w:tcW w:w="2681"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备注</w:t>
            </w:r>
          </w:p>
        </w:tc>
      </w:tr>
      <w:tr>
        <w:tblPrEx>
          <w:tblCellMar>
            <w:top w:w="0" w:type="dxa"/>
            <w:left w:w="108" w:type="dxa"/>
            <w:bottom w:w="0" w:type="dxa"/>
            <w:right w:w="108" w:type="dxa"/>
          </w:tblCellMar>
        </w:tblPrEx>
        <w:trPr>
          <w:trHeight w:val="970" w:hRule="atLeast"/>
        </w:trPr>
        <w:tc>
          <w:tcPr>
            <w:tcW w:w="136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网络规划</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虚拟私有云 VPC</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创建1个VPC，划分至少3个子网（Web层、App层、数据层）</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实现网络隔离</w:t>
            </w:r>
          </w:p>
        </w:tc>
      </w:tr>
      <w:tr>
        <w:tblPrEx>
          <w:tblCellMar>
            <w:top w:w="0" w:type="dxa"/>
            <w:left w:w="108" w:type="dxa"/>
            <w:bottom w:w="0" w:type="dxa"/>
            <w:right w:w="108" w:type="dxa"/>
          </w:tblCellMar>
        </w:tblPrEx>
        <w:trPr>
          <w:trHeight w:val="860" w:hRule="atLeast"/>
        </w:trPr>
        <w:tc>
          <w:tcPr>
            <w:tcW w:w="136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负载均衡</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负载均衡 CLB/ALB</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规格：按量付费，性能容量型 * 2</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1个对外提供Web服务，1个用于内部API网关</w:t>
            </w:r>
          </w:p>
        </w:tc>
      </w:tr>
      <w:tr>
        <w:tblPrEx>
          <w:tblCellMar>
            <w:top w:w="0" w:type="dxa"/>
            <w:left w:w="108" w:type="dxa"/>
            <w:bottom w:w="0" w:type="dxa"/>
            <w:right w:w="108" w:type="dxa"/>
          </w:tblCellMar>
        </w:tblPrEx>
        <w:trPr>
          <w:trHeight w:val="570" w:hRule="atLeast"/>
        </w:trPr>
        <w:tc>
          <w:tcPr>
            <w:tcW w:w="136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DDoS防护</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DDoS高防 (IP高防)</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保底防护带宽：20 Gbps</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等保要求</w:t>
            </w:r>
          </w:p>
        </w:tc>
      </w:tr>
      <w:tr>
        <w:tblPrEx>
          <w:tblCellMar>
            <w:top w:w="0" w:type="dxa"/>
            <w:left w:w="108" w:type="dxa"/>
            <w:bottom w:w="0" w:type="dxa"/>
            <w:right w:w="108" w:type="dxa"/>
          </w:tblCellMar>
        </w:tblPrEx>
        <w:trPr>
          <w:trHeight w:val="800" w:hRule="atLeast"/>
        </w:trPr>
        <w:tc>
          <w:tcPr>
            <w:tcW w:w="136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Web防火墙</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Web应用防火墙 WAF</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域名扩展包：根据对外域名数量购买</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等保要求，防护Web漏洞</w:t>
            </w:r>
          </w:p>
        </w:tc>
      </w:tr>
      <w:tr>
        <w:tblPrEx>
          <w:tblCellMar>
            <w:top w:w="0" w:type="dxa"/>
            <w:left w:w="108" w:type="dxa"/>
            <w:bottom w:w="0" w:type="dxa"/>
            <w:right w:w="108" w:type="dxa"/>
          </w:tblCellMar>
        </w:tblPrEx>
        <w:trPr>
          <w:trHeight w:val="780" w:hRule="atLeast"/>
        </w:trPr>
        <w:tc>
          <w:tcPr>
            <w:tcW w:w="136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网络防火墙</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云防火墙</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开通并配置IPS/AV策略，开启全量日志</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等保要求，实现VPC南北向和东西向隔离</w:t>
            </w:r>
          </w:p>
        </w:tc>
      </w:tr>
      <w:tr>
        <w:tblPrEx>
          <w:tblCellMar>
            <w:top w:w="0" w:type="dxa"/>
            <w:left w:w="108" w:type="dxa"/>
            <w:bottom w:w="0" w:type="dxa"/>
            <w:right w:w="108" w:type="dxa"/>
          </w:tblCellMar>
        </w:tblPrEx>
        <w:trPr>
          <w:trHeight w:val="390" w:hRule="atLeast"/>
        </w:trPr>
        <w:tc>
          <w:tcPr>
            <w:tcW w:w="1360" w:type="dxa"/>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运维安全</w:t>
            </w:r>
          </w:p>
        </w:tc>
        <w:tc>
          <w:tcPr>
            <w:tcW w:w="1896" w:type="dxa"/>
            <w:vMerge w:val="restart"/>
            <w:tcBorders>
              <w:top w:val="nil"/>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堡垒机</w:t>
            </w:r>
          </w:p>
        </w:tc>
        <w:tc>
          <w:tcPr>
            <w:tcW w:w="3050" w:type="dxa"/>
            <w:tcBorders>
              <w:top w:val="nil"/>
              <w:left w:val="nil"/>
              <w:bottom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认证方式：启用双因子认证（2FA）。</w:t>
            </w:r>
          </w:p>
        </w:tc>
        <w:tc>
          <w:tcPr>
            <w:tcW w:w="2681" w:type="dxa"/>
            <w:vMerge w:val="restart"/>
            <w:tcBorders>
              <w:top w:val="nil"/>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所有远程运维必须通过堡垒机，是等保必查项</w:t>
            </w:r>
          </w:p>
        </w:tc>
      </w:tr>
      <w:tr>
        <w:tblPrEx>
          <w:tblCellMar>
            <w:top w:w="0" w:type="dxa"/>
            <w:left w:w="108" w:type="dxa"/>
            <w:bottom w:w="0" w:type="dxa"/>
            <w:right w:w="108" w:type="dxa"/>
          </w:tblCellMar>
        </w:tblPrEx>
        <w:trPr>
          <w:trHeight w:val="658" w:hRule="atLeast"/>
        </w:trPr>
        <w:tc>
          <w:tcPr>
            <w:tcW w:w="136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896" w:type="dxa"/>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305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审计能力：确保所有运维操作被记录并可以回放，日志留存≥6个月</w:t>
            </w:r>
          </w:p>
        </w:tc>
        <w:tc>
          <w:tcPr>
            <w:tcW w:w="2681" w:type="dxa"/>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r>
      <w:tr>
        <w:tblPrEx>
          <w:tblCellMar>
            <w:top w:w="0" w:type="dxa"/>
            <w:left w:w="108" w:type="dxa"/>
            <w:bottom w:w="0" w:type="dxa"/>
            <w:right w:w="108" w:type="dxa"/>
          </w:tblCellMar>
        </w:tblPrEx>
        <w:trPr>
          <w:trHeight w:val="720" w:hRule="atLeast"/>
        </w:trPr>
        <w:tc>
          <w:tcPr>
            <w:tcW w:w="1360" w:type="dxa"/>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数据安全</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数据库审计</w:t>
            </w:r>
          </w:p>
        </w:tc>
        <w:tc>
          <w:tcPr>
            <w:tcW w:w="305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审计范围：覆盖对数据库的所有访问和操作行为</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记录每一个用户的数据行为和操作</w:t>
            </w:r>
          </w:p>
        </w:tc>
      </w:tr>
      <w:tr>
        <w:tblPrEx>
          <w:tblCellMar>
            <w:top w:w="0" w:type="dxa"/>
            <w:left w:w="108" w:type="dxa"/>
            <w:bottom w:w="0" w:type="dxa"/>
            <w:right w:w="108" w:type="dxa"/>
          </w:tblCellMar>
        </w:tblPrEx>
        <w:trPr>
          <w:trHeight w:val="780" w:hRule="atLeast"/>
        </w:trPr>
        <w:tc>
          <w:tcPr>
            <w:tcW w:w="136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SSL证书</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证书部署：为所有对外提供服务的网站和API启用HTTPS</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保障通信数据的保密性和完整性</w:t>
            </w:r>
          </w:p>
        </w:tc>
      </w:tr>
      <w:tr>
        <w:tblPrEx>
          <w:tblCellMar>
            <w:top w:w="0" w:type="dxa"/>
            <w:left w:w="108" w:type="dxa"/>
            <w:bottom w:w="0" w:type="dxa"/>
            <w:right w:w="108" w:type="dxa"/>
          </w:tblCellMar>
        </w:tblPrEx>
        <w:trPr>
          <w:trHeight w:val="770" w:hRule="atLeast"/>
        </w:trPr>
        <w:tc>
          <w:tcPr>
            <w:tcW w:w="136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主机安全</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云安全中心 (安骑士)</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企业版*</w:t>
            </w:r>
            <w:r>
              <w:rPr>
                <w:rFonts w:hint="default" w:asciiTheme="minorAscii" w:hAnsiTheme="minorAscii" w:eastAsiaTheme="minorEastAsia" w:cstheme="minorEastAsia"/>
                <w:b/>
                <w:bCs/>
                <w:kern w:val="0"/>
                <w:sz w:val="18"/>
                <w:szCs w:val="18"/>
                <w:lang w:val="en-US" w:eastAsia="zh-CN"/>
              </w:rPr>
              <w:t>11套</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等保要求，包含HIDS、漏洞管理、杀毒等</w:t>
            </w:r>
          </w:p>
        </w:tc>
      </w:tr>
      <w:tr>
        <w:tblPrEx>
          <w:tblCellMar>
            <w:top w:w="0" w:type="dxa"/>
            <w:left w:w="108" w:type="dxa"/>
            <w:bottom w:w="0" w:type="dxa"/>
            <w:right w:w="108" w:type="dxa"/>
          </w:tblCellMar>
        </w:tblPrEx>
        <w:trPr>
          <w:trHeight w:val="440" w:hRule="atLeast"/>
        </w:trPr>
        <w:tc>
          <w:tcPr>
            <w:tcW w:w="136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资源类型</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云产品</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配置建议</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备注</w:t>
            </w:r>
          </w:p>
        </w:tc>
      </w:tr>
      <w:tr>
        <w:tblPrEx>
          <w:tblCellMar>
            <w:top w:w="0" w:type="dxa"/>
            <w:left w:w="108" w:type="dxa"/>
            <w:bottom w:w="0" w:type="dxa"/>
            <w:right w:w="108" w:type="dxa"/>
          </w:tblCellMar>
        </w:tblPrEx>
        <w:trPr>
          <w:trHeight w:val="720" w:hRule="atLeast"/>
        </w:trPr>
        <w:tc>
          <w:tcPr>
            <w:tcW w:w="1360" w:type="dxa"/>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安全审计 (SIEM/SOC)</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日志服务 SLS</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开启日志审计功能，购买500 GB/月存储包</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等保核心，集中存储和分析所有日志</w:t>
            </w:r>
          </w:p>
        </w:tc>
      </w:tr>
      <w:tr>
        <w:tblPrEx>
          <w:tblCellMar>
            <w:top w:w="0" w:type="dxa"/>
            <w:left w:w="108" w:type="dxa"/>
            <w:bottom w:w="0" w:type="dxa"/>
            <w:right w:w="108" w:type="dxa"/>
          </w:tblCellMar>
        </w:tblPrEx>
        <w:trPr>
          <w:trHeight w:val="660" w:hRule="atLeast"/>
        </w:trPr>
        <w:tc>
          <w:tcPr>
            <w:tcW w:w="136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云安全中心 (SOC功能)</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企业版自带</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进行安全事件关联分析</w:t>
            </w:r>
          </w:p>
        </w:tc>
      </w:tr>
      <w:tr>
        <w:tblPrEx>
          <w:tblCellMar>
            <w:top w:w="0" w:type="dxa"/>
            <w:left w:w="108" w:type="dxa"/>
            <w:bottom w:w="0" w:type="dxa"/>
            <w:right w:w="108" w:type="dxa"/>
          </w:tblCellMar>
        </w:tblPrEx>
        <w:trPr>
          <w:trHeight w:val="670" w:hRule="atLeast"/>
        </w:trPr>
        <w:tc>
          <w:tcPr>
            <w:tcW w:w="1360" w:type="dxa"/>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备份与容灾</w:t>
            </w: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云服务器备份</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为11套ECS购买备份存储库，开启跨区域复制</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等保要求，实现异地容灾</w:t>
            </w:r>
          </w:p>
        </w:tc>
      </w:tr>
      <w:tr>
        <w:tblPrEx>
          <w:tblCellMar>
            <w:top w:w="0" w:type="dxa"/>
            <w:left w:w="108" w:type="dxa"/>
            <w:bottom w:w="0" w:type="dxa"/>
            <w:right w:w="108" w:type="dxa"/>
          </w:tblCellMar>
        </w:tblPrEx>
        <w:trPr>
          <w:trHeight w:val="640" w:hRule="atLeast"/>
        </w:trPr>
        <w:tc>
          <w:tcPr>
            <w:tcW w:w="136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p>
        </w:tc>
        <w:tc>
          <w:tcPr>
            <w:tcW w:w="189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数据库备份 DBS</w:t>
            </w:r>
          </w:p>
        </w:tc>
        <w:tc>
          <w:tcPr>
            <w:tcW w:w="30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对RDS、Redis等进行逻辑备份</w:t>
            </w:r>
          </w:p>
        </w:tc>
        <w:tc>
          <w:tcPr>
            <w:tcW w:w="268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heme="minorAscii" w:hAnsiTheme="minorAscii" w:eastAsiaTheme="minorEastAsia" w:cstheme="minorEastAsia"/>
                <w:b/>
                <w:bCs/>
                <w:kern w:val="0"/>
                <w:sz w:val="18"/>
                <w:szCs w:val="18"/>
              </w:rPr>
            </w:pPr>
            <w:r>
              <w:rPr>
                <w:rFonts w:hint="default" w:asciiTheme="minorAscii" w:hAnsiTheme="minorAscii" w:eastAsiaTheme="minorEastAsia" w:cstheme="minorEastAsia"/>
                <w:b/>
                <w:bCs/>
                <w:kern w:val="0"/>
                <w:sz w:val="18"/>
                <w:szCs w:val="18"/>
              </w:rPr>
              <w:t>提供数据库级备份恢复能力</w:t>
            </w:r>
          </w:p>
        </w:tc>
      </w:tr>
    </w:tbl>
    <w:p>
      <w:pPr>
        <w:pStyle w:val="4"/>
        <w:keepNext/>
        <w:keepLines/>
        <w:pageBreakBefore w:val="0"/>
        <w:widowControl w:val="0"/>
        <w:kinsoku/>
        <w:wordWrap/>
        <w:overflowPunct/>
        <w:topLinePunct w:val="0"/>
        <w:autoSpaceDE/>
        <w:autoSpaceDN/>
        <w:bidi w:val="0"/>
        <w:adjustRightInd w:val="0"/>
        <w:snapToGrid w:val="0"/>
        <w:spacing w:before="499" w:beforeLines="150" w:after="166"/>
        <w:textAlignment w:val="auto"/>
        <w:rPr>
          <w:rFonts w:hint="default" w:asciiTheme="minorAscii" w:hAnsiTheme="minorAscii" w:eastAsiaTheme="minorEastAsia" w:cstheme="minorEastAsia"/>
          <w:sz w:val="24"/>
          <w:szCs w:val="24"/>
        </w:rPr>
      </w:pPr>
      <w:bookmarkStart w:id="113" w:name="_Toc8515"/>
      <w:r>
        <w:rPr>
          <w:rFonts w:hint="default" w:asciiTheme="minorAscii" w:hAnsiTheme="minorAscii" w:eastAsiaTheme="minorEastAsia" w:cstheme="minorEastAsia"/>
          <w:sz w:val="24"/>
          <w:szCs w:val="24"/>
        </w:rPr>
        <w:t>网络系统建设</w:t>
      </w:r>
      <w:bookmarkEnd w:id="113"/>
    </w:p>
    <w:p>
      <w:pPr>
        <w:pStyle w:val="5"/>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系统概述</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本项目根据</w:t>
      </w:r>
      <w:r>
        <w:rPr>
          <w:rFonts w:hint="default" w:asciiTheme="minorAscii" w:hAnsiTheme="minorAscii" w:eastAsiaTheme="minorEastAsia" w:cstheme="minorEastAsia"/>
          <w:sz w:val="24"/>
          <w:szCs w:val="24"/>
          <w:lang w:val="en-US" w:eastAsia="zh-CN"/>
        </w:rPr>
        <w:t>四川省、广元市两级政务信息化项目管理办法的规定</w:t>
      </w:r>
      <w:r>
        <w:rPr>
          <w:rFonts w:hint="default" w:asciiTheme="minorAscii" w:hAnsiTheme="minorAscii" w:eastAsiaTheme="minorEastAsia" w:cstheme="minorEastAsia"/>
          <w:sz w:val="24"/>
          <w:szCs w:val="24"/>
        </w:rPr>
        <w:t>，结合广元市</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政务云</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电子政务外网运行的具体实际</w:t>
      </w:r>
      <w:r>
        <w:rPr>
          <w:rFonts w:hint="default" w:asciiTheme="minorAscii" w:hAnsiTheme="minorAscii" w:eastAsiaTheme="minorEastAsia" w:cstheme="minorEastAsia"/>
          <w:sz w:val="24"/>
          <w:szCs w:val="24"/>
        </w:rPr>
        <w:t>和</w:t>
      </w:r>
      <w:r>
        <w:rPr>
          <w:rFonts w:hint="default" w:asciiTheme="minorAscii" w:hAnsiTheme="minorAscii" w:eastAsiaTheme="minorEastAsia" w:cstheme="minorEastAsia"/>
          <w:sz w:val="24"/>
          <w:szCs w:val="24"/>
          <w:lang w:val="en-US" w:eastAsia="zh-CN"/>
        </w:rPr>
        <w:t>建设单位广元市</w:t>
      </w:r>
      <w:r>
        <w:rPr>
          <w:rFonts w:hint="default" w:asciiTheme="minorAscii" w:hAnsiTheme="minorAscii" w:eastAsiaTheme="minorEastAsia" w:cstheme="minorEastAsia"/>
          <w:sz w:val="24"/>
          <w:szCs w:val="24"/>
        </w:rPr>
        <w:t>白龙湖风景名胜区管理</w:t>
      </w:r>
      <w:r>
        <w:rPr>
          <w:rFonts w:hint="default" w:asciiTheme="minorAscii" w:hAnsiTheme="minorAscii" w:eastAsiaTheme="minorEastAsia" w:cstheme="minorEastAsia"/>
          <w:sz w:val="24"/>
          <w:szCs w:val="24"/>
          <w:lang w:val="en-US" w:eastAsia="zh-CN"/>
        </w:rPr>
        <w:t>局应用信息化软硬件的</w:t>
      </w:r>
      <w:r>
        <w:rPr>
          <w:rFonts w:hint="default" w:asciiTheme="minorAscii" w:hAnsiTheme="minorAscii" w:eastAsiaTheme="minorEastAsia" w:cstheme="minorEastAsia"/>
          <w:sz w:val="24"/>
          <w:szCs w:val="24"/>
        </w:rPr>
        <w:t>现状</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lang w:val="en-US" w:eastAsia="zh-CN"/>
        </w:rPr>
        <w:t>没有现成的机房</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z w:val="24"/>
          <w:szCs w:val="24"/>
          <w:lang w:val="en-US" w:eastAsia="zh-CN"/>
        </w:rPr>
        <w:t>将项目必备数据中心的构建方式确立为</w:t>
      </w:r>
      <w:r>
        <w:rPr>
          <w:rFonts w:hint="default" w:asciiTheme="minorAscii" w:hAnsiTheme="minorAscii" w:eastAsiaTheme="minorEastAsia" w:cstheme="minorEastAsia"/>
          <w:sz w:val="24"/>
          <w:szCs w:val="24"/>
          <w:u w:val="wave"/>
          <w:lang w:val="en-US" w:eastAsia="zh-CN"/>
        </w:rPr>
        <w:t>政务云部署+专用主机</w:t>
      </w:r>
      <w:r>
        <w:rPr>
          <w:rFonts w:hint="default" w:asciiTheme="minorAscii" w:hAnsiTheme="minorAscii" w:eastAsiaTheme="minorEastAsia" w:cstheme="minorEastAsia"/>
          <w:sz w:val="24"/>
          <w:szCs w:val="24"/>
          <w:u w:val="wave"/>
        </w:rPr>
        <w:t>托管的方式</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z w:val="24"/>
          <w:szCs w:val="24"/>
          <w:lang w:val="en-US" w:eastAsia="zh-CN"/>
        </w:rPr>
        <w:t>系统平台和核心数据资源置于广元市政务云数据中心机房（物理环境）内。故项目单位的</w:t>
      </w:r>
      <w:bookmarkStart w:id="114" w:name="OLE_LINK1"/>
      <w:r>
        <w:rPr>
          <w:rFonts w:hint="default" w:asciiTheme="minorAscii" w:hAnsiTheme="minorAscii" w:eastAsiaTheme="minorEastAsia" w:cstheme="minorEastAsia"/>
          <w:sz w:val="24"/>
          <w:szCs w:val="24"/>
        </w:rPr>
        <w:t>各个</w:t>
      </w:r>
      <w:r>
        <w:rPr>
          <w:rFonts w:hint="default" w:asciiTheme="minorAscii" w:hAnsiTheme="minorAscii" w:eastAsiaTheme="minorEastAsia" w:cstheme="minorEastAsia"/>
          <w:sz w:val="24"/>
          <w:szCs w:val="24"/>
          <w:lang w:val="en-US" w:eastAsia="zh-CN"/>
        </w:rPr>
        <w:t>中心/分中心/副中心/协作点</w:t>
      </w:r>
      <w:r>
        <w:rPr>
          <w:rFonts w:hint="default" w:asciiTheme="minorAscii" w:hAnsiTheme="minorAscii" w:eastAsiaTheme="minorEastAsia" w:cstheme="minorEastAsia"/>
          <w:sz w:val="24"/>
          <w:szCs w:val="24"/>
        </w:rPr>
        <w:t>和前端数据采集</w:t>
      </w:r>
      <w:r>
        <w:rPr>
          <w:rFonts w:hint="default" w:asciiTheme="minorAscii" w:hAnsiTheme="minorAscii" w:eastAsiaTheme="minorEastAsia" w:cstheme="minorEastAsia"/>
          <w:sz w:val="24"/>
          <w:szCs w:val="24"/>
          <w:lang w:val="en-US" w:eastAsia="zh-CN"/>
        </w:rPr>
        <w:t>站点、巡航基站等，均</w:t>
      </w:r>
      <w:bookmarkEnd w:id="114"/>
      <w:r>
        <w:rPr>
          <w:rFonts w:hint="default" w:asciiTheme="minorAscii" w:hAnsiTheme="minorAscii" w:eastAsiaTheme="minorEastAsia" w:cstheme="minorEastAsia"/>
          <w:sz w:val="24"/>
          <w:szCs w:val="24"/>
        </w:rPr>
        <w:t>以电子政务外网为依托，通过</w:t>
      </w:r>
      <w:r>
        <w:rPr>
          <w:rFonts w:hint="default" w:asciiTheme="minorAscii" w:hAnsiTheme="minorAscii" w:eastAsiaTheme="minorEastAsia" w:cstheme="minorEastAsia"/>
          <w:sz w:val="24"/>
          <w:szCs w:val="24"/>
          <w:lang w:val="en-US" w:eastAsia="zh-CN"/>
        </w:rPr>
        <w:t>租用当地运营商专门为项目建设的网络传输链路（专线）</w:t>
      </w:r>
      <w:r>
        <w:rPr>
          <w:rFonts w:hint="default" w:asciiTheme="minorAscii" w:hAnsiTheme="minorAscii" w:eastAsiaTheme="minorEastAsia" w:cstheme="minorEastAsia"/>
          <w:sz w:val="24"/>
          <w:szCs w:val="24"/>
        </w:rPr>
        <w:t>接入电子政务外网，实现数据传输、业务访问与</w:t>
      </w:r>
      <w:r>
        <w:rPr>
          <w:rFonts w:hint="default" w:asciiTheme="minorAscii" w:hAnsiTheme="minorAscii" w:eastAsiaTheme="minorEastAsia" w:cstheme="minorEastAsia"/>
          <w:sz w:val="24"/>
          <w:szCs w:val="24"/>
          <w:lang w:val="en-US" w:eastAsia="zh-CN"/>
        </w:rPr>
        <w:t>设备设施</w:t>
      </w:r>
      <w:r>
        <w:rPr>
          <w:rFonts w:hint="default" w:asciiTheme="minorAscii" w:hAnsiTheme="minorAscii" w:eastAsiaTheme="minorEastAsia" w:cstheme="minorEastAsia"/>
          <w:sz w:val="24"/>
          <w:szCs w:val="24"/>
        </w:rPr>
        <w:t>管理。</w:t>
      </w:r>
    </w:p>
    <w:p>
      <w:pPr>
        <w:pStyle w:val="5"/>
        <w:tabs>
          <w:tab w:val="left" w:pos="0"/>
        </w:tabs>
        <w:ind w:firstLine="482"/>
        <w:rPr>
          <w:rFonts w:hint="default" w:asciiTheme="minorAscii" w:hAnsiTheme="minorAscii" w:eastAsiaTheme="minorEastAsia" w:cstheme="minorEastAsia"/>
          <w:sz w:val="24"/>
          <w:szCs w:val="24"/>
        </w:rPr>
      </w:pPr>
      <w:bookmarkStart w:id="115" w:name="_Toc29152"/>
      <w:bookmarkStart w:id="116" w:name="_Toc29366"/>
      <w:bookmarkStart w:id="117" w:name="_Toc24174"/>
      <w:bookmarkStart w:id="118" w:name="_Toc22867"/>
      <w:bookmarkStart w:id="119" w:name="_Toc1165"/>
      <w:r>
        <w:rPr>
          <w:rFonts w:hint="default" w:asciiTheme="minorAscii" w:hAnsiTheme="minorAscii" w:eastAsiaTheme="minorEastAsia" w:cstheme="minorEastAsia"/>
          <w:sz w:val="24"/>
          <w:szCs w:val="24"/>
        </w:rPr>
        <w:t>系统架构</w:t>
      </w:r>
      <w:bookmarkEnd w:id="115"/>
      <w:bookmarkEnd w:id="116"/>
      <w:bookmarkEnd w:id="117"/>
      <w:bookmarkEnd w:id="118"/>
      <w:bookmarkEnd w:id="119"/>
    </w:p>
    <w:p>
      <w:pPr>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项目网络拓扑如下图所示：</w:t>
      </w:r>
    </w:p>
    <w:p>
      <w:pPr>
        <w:ind w:firstLine="0" w:firstLineChars="0"/>
        <w:jc w:val="both"/>
        <w:rPr>
          <w:rFonts w:hint="default" w:asciiTheme="minorAscii" w:hAnsiTheme="minorAscii" w:eastAsiaTheme="minorEastAsia" w:cstheme="minorEastAsia"/>
          <w:sz w:val="24"/>
          <w:szCs w:val="24"/>
          <w:lang w:eastAsia="zh-CN"/>
        </w:rPr>
      </w:pPr>
      <w:r>
        <w:rPr>
          <w:rFonts w:hint="default" w:asciiTheme="minorAscii" w:hAnsiTheme="minorAscii" w:eastAsiaTheme="minorEastAsia" w:cstheme="minorEastAsia"/>
          <w:sz w:val="24"/>
          <w:szCs w:val="24"/>
          <w:lang w:eastAsia="zh-CN"/>
        </w:rPr>
        <w:drawing>
          <wp:inline distT="0" distB="0" distL="114300" distR="114300">
            <wp:extent cx="5273040" cy="2915285"/>
            <wp:effectExtent l="0" t="0" r="0" b="10795"/>
            <wp:docPr id="128" name="图片 128" descr="网络拓扑图2026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网络拓扑图20260410"/>
                    <pic:cNvPicPr>
                      <a:picLocks noChangeAspect="1"/>
                    </pic:cNvPicPr>
                  </pic:nvPicPr>
                  <pic:blipFill>
                    <a:blip r:embed="rId7"/>
                    <a:srcRect r="928"/>
                    <a:stretch>
                      <a:fillRect/>
                    </a:stretch>
                  </pic:blipFill>
                  <pic:spPr>
                    <a:xfrm>
                      <a:off x="0" y="0"/>
                      <a:ext cx="5273040" cy="2915285"/>
                    </a:xfrm>
                    <a:prstGeom prst="rect">
                      <a:avLst/>
                    </a:prstGeom>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before="68" w:beforeLines="20" w:after="267" w:afterLines="80"/>
        <w:ind w:leftChars="0"/>
        <w:jc w:val="center"/>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图53 白龙湖三水一体协同管控体系建设项目</w:t>
      </w:r>
      <w:r>
        <w:rPr>
          <w:rFonts w:hint="default" w:asciiTheme="minorAscii" w:hAnsiTheme="minorAscii" w:eastAsiaTheme="minorEastAsia" w:cstheme="minorEastAsia"/>
          <w:b/>
          <w:bCs/>
          <w:sz w:val="24"/>
          <w:szCs w:val="24"/>
        </w:rPr>
        <w:t>网络系统架构</w:t>
      </w:r>
      <w:r>
        <w:rPr>
          <w:rFonts w:hint="default" w:asciiTheme="minorAscii" w:hAnsiTheme="minorAscii" w:eastAsiaTheme="minorEastAsia" w:cstheme="minorEastAsia"/>
          <w:b/>
          <w:bCs/>
          <w:sz w:val="24"/>
          <w:szCs w:val="24"/>
          <w:lang w:val="en-US" w:eastAsia="zh-CN"/>
        </w:rPr>
        <w:t>拓扑</w:t>
      </w:r>
      <w:r>
        <w:rPr>
          <w:rFonts w:hint="default" w:asciiTheme="minorAscii" w:hAnsiTheme="minorAscii" w:eastAsiaTheme="minorEastAsia" w:cstheme="minorEastAsia"/>
          <w:b/>
          <w:bCs/>
          <w:sz w:val="24"/>
          <w:szCs w:val="24"/>
        </w:rPr>
        <w:t>图</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网络架构的总体规划遵循安全、可靠、节约成本的设计理念，将数据中心服务器分为两类，一类是系统业务服务器，另一类是系统配套服务器。</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系统业务服务器需要处理各种业务数据与业务请求，对服务器的计算能力、并发数、数据交互能力、数据存储能力都很高，故设计采用租赁电子政务云的高性能云服务器的方式来保障核心业务。</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系统配套服务器，例如视频云存储服务器，这类服务器对性能要求不高，但存储空间很大，如采用租赁云服务的方法将会是一笔不菲的开销，故设计采用服务器托管的方式来降低成本。</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各个分支站点及前端数据采集设备均采用电子政务外网网关、接入路由、防火墙作为边缘接入网关，通过电子政务外网专线与电子政务云通信，以确保网络安全。</w:t>
      </w:r>
    </w:p>
    <w:p>
      <w:pPr>
        <w:pStyle w:val="5"/>
        <w:tabs>
          <w:tab w:val="left" w:pos="0"/>
        </w:tabs>
        <w:ind w:firstLine="482"/>
        <w:rPr>
          <w:rFonts w:hint="default" w:asciiTheme="minorAscii" w:hAnsiTheme="minorAscii" w:eastAsiaTheme="minorEastAsia" w:cstheme="minorEastAsia"/>
          <w:sz w:val="24"/>
          <w:szCs w:val="24"/>
        </w:rPr>
      </w:pPr>
      <w:bookmarkStart w:id="120" w:name="_Toc29348"/>
      <w:bookmarkStart w:id="121" w:name="_Toc4463"/>
      <w:bookmarkStart w:id="122" w:name="_Toc17666"/>
      <w:bookmarkStart w:id="123" w:name="_Toc1271"/>
      <w:bookmarkStart w:id="124" w:name="_Toc5394"/>
      <w:r>
        <w:rPr>
          <w:rFonts w:hint="default" w:asciiTheme="minorAscii" w:hAnsiTheme="minorAscii" w:eastAsiaTheme="minorEastAsia" w:cstheme="minorEastAsia"/>
          <w:sz w:val="24"/>
          <w:szCs w:val="24"/>
        </w:rPr>
        <w:t>建设内容</w:t>
      </w:r>
      <w:bookmarkEnd w:id="120"/>
      <w:bookmarkEnd w:id="121"/>
      <w:bookmarkEnd w:id="122"/>
      <w:bookmarkEnd w:id="123"/>
      <w:bookmarkEnd w:id="124"/>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本次建设内容分为数据中心网络建设、电子政务外网专线网络建设、各个分支站点和前端数据采集设备网络建设。</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数据中心网络建设：数据中心采用租赁和托管两种方式建设，故其网络建设与网络安全均由电子政务云服务商提供。</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电子政务外网专线网络建设：电子政务外网专线由电子政务外网运营商负责提供。</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各个分支站点和前端数据采集设备网络建设：</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1）</w:t>
      </w:r>
      <w:r>
        <w:rPr>
          <w:rFonts w:hint="default" w:asciiTheme="minorAscii" w:hAnsiTheme="minorAscii" w:eastAsiaTheme="minorEastAsia" w:cstheme="minorEastAsia"/>
          <w:b/>
          <w:bCs/>
          <w:sz w:val="24"/>
          <w:szCs w:val="24"/>
        </w:rPr>
        <w:t>市局中心、</w:t>
      </w:r>
      <w:r>
        <w:rPr>
          <w:rFonts w:hint="default" w:asciiTheme="minorAscii" w:hAnsiTheme="minorAscii" w:eastAsiaTheme="minorEastAsia" w:cstheme="minorEastAsia"/>
          <w:b/>
          <w:bCs/>
          <w:sz w:val="24"/>
          <w:szCs w:val="24"/>
          <w:lang w:val="en-US" w:eastAsia="zh-CN"/>
        </w:rPr>
        <w:t>沙州（</w:t>
      </w:r>
      <w:r>
        <w:rPr>
          <w:rFonts w:hint="default" w:asciiTheme="minorAscii" w:hAnsiTheme="minorAscii" w:eastAsiaTheme="minorEastAsia" w:cstheme="minorEastAsia"/>
          <w:b/>
          <w:bCs/>
          <w:sz w:val="24"/>
          <w:szCs w:val="24"/>
        </w:rPr>
        <w:t>青川</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lang w:val="en-US" w:eastAsia="zh-CN"/>
        </w:rPr>
        <w:t>/</w:t>
      </w:r>
      <w:r>
        <w:rPr>
          <w:rFonts w:hint="default" w:asciiTheme="minorAscii" w:hAnsiTheme="minorAscii" w:eastAsiaTheme="minorEastAsia" w:cstheme="minorEastAsia"/>
          <w:b/>
          <w:bCs/>
          <w:sz w:val="24"/>
          <w:szCs w:val="24"/>
        </w:rPr>
        <w:t>利州分中心</w:t>
      </w:r>
      <w:r>
        <w:rPr>
          <w:rFonts w:hint="default" w:asciiTheme="minorAscii" w:hAnsiTheme="minorAscii" w:eastAsiaTheme="minorEastAsia" w:cstheme="minorEastAsia"/>
          <w:b/>
          <w:bCs/>
          <w:sz w:val="24"/>
          <w:szCs w:val="24"/>
          <w:lang w:eastAsia="zh-CN"/>
        </w:rPr>
        <w:t>、</w:t>
      </w:r>
      <w:r>
        <w:rPr>
          <w:rFonts w:hint="default" w:asciiTheme="minorAscii" w:hAnsiTheme="minorAscii" w:eastAsiaTheme="minorEastAsia" w:cstheme="minorEastAsia"/>
          <w:b/>
          <w:bCs/>
          <w:sz w:val="24"/>
          <w:szCs w:val="24"/>
        </w:rPr>
        <w:t>网络</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以高性能防火墙作为出口，搭配核心交换机构建高速网络交换系统。防火墙自带IPS、AV等高级功能，提高整体网络的抗攻击能力。</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2）沙州副中心，3处协作点</w:t>
      </w:r>
      <w:r>
        <w:rPr>
          <w:rFonts w:hint="default" w:asciiTheme="minorAscii" w:hAnsiTheme="minorAscii" w:eastAsiaTheme="minorEastAsia" w:cstheme="minorEastAsia"/>
          <w:b/>
          <w:bCs/>
          <w:sz w:val="24"/>
          <w:szCs w:val="24"/>
        </w:rPr>
        <w:t>会议系统网络</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会议系统终端直接接入电子政务外网网关，仅允许在电子政务外网上传输会议系统数据。</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3）</w:t>
      </w:r>
      <w:r>
        <w:rPr>
          <w:rFonts w:hint="default" w:asciiTheme="minorAscii" w:hAnsiTheme="minorAscii" w:eastAsiaTheme="minorEastAsia" w:cstheme="minorEastAsia"/>
          <w:b/>
          <w:bCs/>
          <w:sz w:val="24"/>
          <w:szCs w:val="24"/>
        </w:rPr>
        <w:t>前端数据采集设备网络</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前端数据采集设备</w:t>
      </w:r>
      <w:r>
        <w:rPr>
          <w:rFonts w:hint="default" w:asciiTheme="minorAscii" w:hAnsiTheme="minorAscii" w:eastAsiaTheme="minorEastAsia" w:cstheme="minorEastAsia"/>
          <w:sz w:val="24"/>
          <w:szCs w:val="24"/>
          <w:lang w:val="en-US" w:eastAsia="zh-CN"/>
        </w:rPr>
        <w:t>采用4G/5G网络</w:t>
      </w:r>
      <w:r>
        <w:rPr>
          <w:rFonts w:hint="default" w:asciiTheme="minorAscii" w:hAnsiTheme="minorAscii" w:eastAsiaTheme="minorEastAsia" w:cstheme="minorEastAsia"/>
          <w:sz w:val="24"/>
          <w:szCs w:val="24"/>
        </w:rPr>
        <w:t>，</w:t>
      </w:r>
      <w:r>
        <w:rPr>
          <w:rFonts w:hint="default" w:asciiTheme="minorAscii" w:hAnsiTheme="minorAscii" w:eastAsiaTheme="minorEastAsia" w:cstheme="minorEastAsia"/>
          <w:sz w:val="24"/>
          <w:szCs w:val="24"/>
          <w:lang w:val="en-US" w:eastAsia="zh-CN"/>
        </w:rPr>
        <w:t>并对采集设备进行</w:t>
      </w:r>
      <w:r>
        <w:rPr>
          <w:rFonts w:hint="default" w:asciiTheme="minorAscii" w:hAnsiTheme="minorAscii" w:eastAsiaTheme="minorEastAsia" w:cstheme="minorEastAsia"/>
          <w:sz w:val="24"/>
          <w:szCs w:val="24"/>
        </w:rPr>
        <w:t>IP\MAC绑定技术，确保接入设备的安全性。</w:t>
      </w:r>
    </w:p>
    <w:p>
      <w:pPr>
        <w:pStyle w:val="5"/>
        <w:tabs>
          <w:tab w:val="left" w:pos="0"/>
        </w:tabs>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项目网络链路资源获取方式</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数据中心的物理地址位于广元市政务云机房，各中心、站点均需接入电子政务外网与系统平台通信、实现数据交互，而这些用户节点十分分散，跨越2区3县，联网所需要的链路资源由建设单位自行建设无疑是笔巨额开支，这就需要共享社会资源，由几大运营商发挥优势提供支撑。</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u w:val="wave"/>
          <w:lang w:val="en-US" w:eastAsia="zh-CN"/>
        </w:rPr>
      </w:pPr>
      <w:r>
        <w:rPr>
          <w:rFonts w:hint="default" w:asciiTheme="minorAscii" w:hAnsiTheme="minorAscii" w:eastAsiaTheme="minorEastAsia" w:cstheme="minorEastAsia"/>
          <w:sz w:val="24"/>
          <w:szCs w:val="24"/>
          <w:lang w:val="en-US" w:eastAsia="zh-CN"/>
        </w:rPr>
        <w:t>建设单位结合项目具体实际，提出了网络链路资源合作需求：</w:t>
      </w:r>
      <w:r>
        <w:rPr>
          <w:rFonts w:hint="default" w:asciiTheme="minorAscii" w:hAnsiTheme="minorAscii" w:eastAsiaTheme="minorEastAsia" w:cstheme="minorEastAsia"/>
          <w:sz w:val="24"/>
          <w:szCs w:val="24"/>
          <w:u w:val="wave"/>
          <w:lang w:val="en-US" w:eastAsia="zh-CN"/>
        </w:rPr>
        <w:t>项目预算三年电子政务外网链路服务费，合作运营商须承诺免费延长服务两年（合作期间共计服务五年）。</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本项目网络传输链路资源合作具体要求：</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1）一、二期需要接入广元市电子政务外网的本项目用户节点共123个（处），其中：中心1个、分中心2个、副中心1个，协作点3个；水质监测站点33个，流量监测站点6个，水位监测站点2个，视频监控及智慧感知点位30个，巡航基站4个，使用铁塔2处（含用电、网络接入）；6台便携式智慧协同终端5G流量卡。要求提供3年网络传输链路有偿服务，另须由链路资源提供单位承诺免费延长两年服务，共计提供五年电子政务外网传输链路接入服务。</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2）在满足网络应用带宽要求的前提下，链路接入方式（有线/5G/4G）不限，有线接入所需光模块由链路服务单位免费提供；5G/4G接入所需SIM卡由链路服务单位免费提供。</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3）链路提供单位必须保证网络传输稳定，可靠性符合国家相关规定，一年内全部节点累积断网、卡顿时间不得超过24h。</w:t>
      </w:r>
    </w:p>
    <w:p>
      <w:pPr>
        <w:pStyle w:val="5"/>
        <w:tabs>
          <w:tab w:val="left" w:pos="0"/>
        </w:tabs>
        <w:ind w:left="0" w:leftChars="0" w:firstLine="0" w:firstLineChars="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项目一、二期网络传输链路详细需求</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依据本项目设计方案“3.3分项建设内容”的相关描述，一、二期网络传输链路的详细需求如下：</w:t>
      </w:r>
    </w:p>
    <w:tbl>
      <w:tblPr>
        <w:tblStyle w:val="18"/>
        <w:tblW w:w="897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235"/>
        <w:gridCol w:w="5053"/>
        <w:gridCol w:w="660"/>
        <w:gridCol w:w="720"/>
        <w:gridCol w:w="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序号</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分项名称</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详细需求描述</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数量</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单位</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kern w:val="0"/>
                <w:sz w:val="18"/>
                <w:szCs w:val="18"/>
                <w:u w:val="none"/>
                <w:lang w:val="en-US" w:eastAsia="zh-CN" w:bidi="ar"/>
              </w:rPr>
            </w:pPr>
            <w:r>
              <w:rPr>
                <w:rFonts w:hint="default" w:asciiTheme="minorAscii" w:hAnsiTheme="minorAscii" w:eastAsiaTheme="minorEastAsia" w:cstheme="minorEastAsia"/>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㈠</w:t>
            </w:r>
          </w:p>
        </w:tc>
        <w:tc>
          <w:tcPr>
            <w:tcW w:w="6288" w:type="dxa"/>
            <w:gridSpan w:val="2"/>
            <w:tcBorders>
              <w:top w:val="single" w:color="808080" w:sz="4" w:space="0"/>
              <w:left w:val="single" w:color="808080" w:sz="4" w:space="0"/>
              <w:bottom w:val="single" w:color="80808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一期网络传输链路需求</w:t>
            </w:r>
          </w:p>
        </w:tc>
        <w:tc>
          <w:tcPr>
            <w:tcW w:w="660" w:type="dxa"/>
            <w:tcBorders>
              <w:top w:val="single" w:color="808080" w:sz="4" w:space="0"/>
              <w:left w:val="nil"/>
              <w:bottom w:val="single" w:color="808080"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heme="minorAscii" w:hAnsiTheme="minorAscii" w:eastAsiaTheme="minorEastAsia" w:cstheme="minorEastAsia"/>
                <w:b/>
                <w:bCs/>
                <w:i w:val="0"/>
                <w:iCs w:val="0"/>
                <w:color w:val="000000"/>
                <w:sz w:val="18"/>
                <w:szCs w:val="18"/>
                <w:u w:val="none"/>
              </w:rPr>
            </w:pPr>
          </w:p>
        </w:tc>
        <w:tc>
          <w:tcPr>
            <w:tcW w:w="720" w:type="dxa"/>
            <w:tcBorders>
              <w:top w:val="single" w:color="808080" w:sz="4" w:space="0"/>
              <w:left w:val="nil"/>
              <w:bottom w:val="single" w:color="808080" w:sz="4" w:space="0"/>
              <w:right w:val="single" w:color="80808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heme="minorAscii" w:hAnsiTheme="minorAscii" w:eastAsiaTheme="minorEastAsia" w:cstheme="minorEastAsia"/>
                <w:b/>
                <w:bCs/>
                <w:i w:val="0"/>
                <w:iCs w:val="0"/>
                <w:color w:val="000000"/>
                <w:sz w:val="18"/>
                <w:szCs w:val="18"/>
                <w:u w:val="none"/>
              </w:rPr>
            </w:pPr>
          </w:p>
        </w:tc>
        <w:tc>
          <w:tcPr>
            <w:tcW w:w="660"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rPr>
                <w:rFonts w:hint="default" w:asciiTheme="minorAscii" w:hAnsiTheme="minorAscii" w:eastAsiaTheme="minorEastAsia" w:cstheme="minorEastAsia"/>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云服务器接入电子政务外网链路费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带宽100MB。</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在满足网络应用带宽要求的前提下，接入所需光模块由链路服务单位免费提供。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项</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2</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固定7参水质监测站网络传输链路费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带宽40MB。</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在满足网络应用带宽要求的前提下，链路接入方式（有线/5G/4G）不限，有线接入所需光模块由链路服务单位免费提供；5G/4G接入所需SIM卡由链路服务单位免费提供。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lang w:val="en-US"/>
              </w:rPr>
            </w:pPr>
            <w:r>
              <w:rPr>
                <w:rFonts w:hint="default" w:asciiTheme="minorAscii" w:hAnsiTheme="minorAscii" w:eastAsiaTheme="minorEastAsia" w:cstheme="minorEastAsia"/>
                <w:i w:val="0"/>
                <w:iCs w:val="0"/>
                <w:color w:val="000000"/>
                <w:kern w:val="0"/>
                <w:sz w:val="18"/>
                <w:szCs w:val="18"/>
                <w:u w:val="none"/>
                <w:lang w:val="en-US" w:eastAsia="zh-CN" w:bidi="ar"/>
              </w:rPr>
              <w:t>20</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站</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3</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浮标式7参水质监测站网络传输链路费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带宽30MB。5G行业专网接入电子政务外网平台，需通过SPN专线对接。按每天传输需流量约0.12个G，每月需流量约4个G。</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在满足网络应用带宽要求的前提下，链路接入方式（有线/5G/4G）不限，有线接入所需光模块由链路服务单位免费提供；5G/4G接入所需SIM卡由链路服务单位免费提供。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4</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站</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4</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流量监测站网络传输链路费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带宽40MB。</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在满足网络应用带宽要求的前提下，链路接入方式（有线/5G/4G）不限，有线接入所需光模块由链路服务单位免费提供；5G/4G接入所需SIM卡由链路服务单位免费提供。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2</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站</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5</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水位监测站网络传输链路费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带宽30MB。5G行业专网接入电子政务外网平台，需通过SPN专线对接。按每天传输需流量约0.12个G，每月需流量约4个G。</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在满足网络应用带宽要求的前提下，链路接入方式（有线/5G/4G）不限，有线接入所需光模块由链路服务单位免费提供；5G/4G接入所需SIM卡由链路服务单位免费提供。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2</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站</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6</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无人机巡航基站网络传输链路费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带宽30MB。5G行业专网接入电子政务外网平台，需通过SPN专线对接。网联无人机视频回传流量测算：按每小时传输需流量约2个G，每天传输2小时，每月30天测算，每月使用流量约120G。</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在满足网络应用带宽要求的前提下，链路接入方式（有线/5G/4G）不限，有线接入所需光模块由链路服务单位免费提供；5G/4G接入所需SIM卡由链路服务单位免费提供。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4</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站</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7</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视频监控摄像机2/3/5（点位）网络传输链路费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带宽40MB。</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在满足网络应用带宽要求的前提下，链路接入方式（有线/5G/4G）不限，有线接入所需光模块由链路服务单位免费提供；5G/4G接入所需SIM卡由链路服务单位免费提供。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lang w:val="en-US"/>
              </w:rPr>
            </w:pPr>
            <w:r>
              <w:rPr>
                <w:rFonts w:hint="default" w:asciiTheme="minorAscii" w:hAnsiTheme="minorAscii" w:eastAsiaTheme="minorEastAsia" w:cstheme="minorEastAsia"/>
                <w:i w:val="0"/>
                <w:iCs w:val="0"/>
                <w:color w:val="000000"/>
                <w:kern w:val="0"/>
                <w:sz w:val="18"/>
                <w:szCs w:val="18"/>
                <w:u w:val="none"/>
                <w:lang w:val="en-US" w:eastAsia="zh-CN" w:bidi="ar"/>
              </w:rPr>
              <w:t>28</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点位</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r>
              <w:rPr>
                <w:rFonts w:hint="default" w:asciiTheme="minorAscii" w:hAnsiTheme="minorAscii" w:eastAsiaTheme="minorEastAsia" w:cstheme="minorEastAsia"/>
                <w:i w:val="0"/>
                <w:iCs w:val="0"/>
                <w:color w:val="000000"/>
                <w:kern w:val="0"/>
                <w:sz w:val="18"/>
                <w:szCs w:val="18"/>
                <w:u w:val="none"/>
                <w:lang w:val="en-US" w:eastAsia="zh-CN" w:bidi="ar"/>
              </w:rPr>
              <w:t>使用铁塔1处，包含提供网络和电源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8</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视频监控摄像机4（点位）网络传输链路费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带宽100MB。</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在满足网络应用带宽要求的前提下，链路接入方式（有线/5G/4G）不限，有线接入所需光模块由链路服务单位免费提供；5G/4G接入所需SIM卡由链路服务单位免费提供。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2</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点位</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r>
              <w:rPr>
                <w:rFonts w:hint="default" w:asciiTheme="minorAscii" w:hAnsiTheme="minorAscii" w:eastAsiaTheme="minorEastAsia" w:cstheme="minorEastAsia"/>
                <w:i w:val="0"/>
                <w:iCs w:val="0"/>
                <w:color w:val="000000"/>
                <w:kern w:val="0"/>
                <w:sz w:val="18"/>
                <w:szCs w:val="18"/>
                <w:u w:val="none"/>
                <w:lang w:val="en-US" w:eastAsia="zh-CN" w:bidi="ar"/>
              </w:rPr>
              <w:t>使用铁塔1处，包含提供网络和电源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9</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5G专网改造</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5G专网接入电子政务外网平台5G专用节点、专线接入费用，共计提供五年服务。</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项</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10</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指挥中心、分中心、副中心接入电子政务外网传输链路费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带宽100MB。</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在满足网络应用带宽要求的前提下，有线接入所需光模块由链路服务单位免费提供。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4</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处</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㈡</w:t>
            </w:r>
          </w:p>
        </w:tc>
        <w:tc>
          <w:tcPr>
            <w:tcW w:w="7668" w:type="dxa"/>
            <w:gridSpan w:val="4"/>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二期网络传输链路需求</w:t>
            </w:r>
          </w:p>
        </w:tc>
        <w:tc>
          <w:tcPr>
            <w:tcW w:w="660"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固定7参水质监测站网络传输链路费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带宽40MB。</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在满足网络应用带宽要求的前提下，链路接入方式（有线/5G/4G）不限，有线接入所需光模块由链路服务单位免费提供；5G/4G接入所需SIM卡由链路服务单位免费提供。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9</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站</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0" w:hRule="atLeast"/>
        </w:trPr>
        <w:tc>
          <w:tcPr>
            <w:tcW w:w="643"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2</w:t>
            </w:r>
          </w:p>
        </w:tc>
        <w:tc>
          <w:tcPr>
            <w:tcW w:w="1235"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流量监测站网络传输链路费</w:t>
            </w:r>
          </w:p>
        </w:tc>
        <w:tc>
          <w:tcPr>
            <w:tcW w:w="5053" w:type="dxa"/>
            <w:tcBorders>
              <w:top w:val="single" w:color="808080" w:sz="4" w:space="0"/>
              <w:left w:val="single" w:color="808080" w:sz="4" w:space="0"/>
              <w:bottom w:val="single" w:color="808080" w:sz="4" w:space="0"/>
              <w:right w:val="single" w:color="80808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 带宽40MB。</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2. 要求提供3年网络传输链路有偿服务，另须由链路资源提供单位承诺免费延长两年服务，共计提供五年电子政务外网传输链路接入服务。</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3. 在满足网络应用带宽要求的前提下，链路接入方式（有线/5G/4G）不限，有线接入所需光模块由链路服务单位免费提供；5G/4G接入所需SIM卡由链路服务单位免费提供。</w:t>
            </w:r>
            <w:r>
              <w:rPr>
                <w:rFonts w:hint="default" w:asciiTheme="minorAscii" w:hAnsiTheme="minorAscii" w:eastAsiaTheme="minorEastAsia" w:cstheme="minorEastAsia"/>
                <w:i w:val="0"/>
                <w:iCs w:val="0"/>
                <w:color w:val="000000"/>
                <w:kern w:val="0"/>
                <w:sz w:val="18"/>
                <w:szCs w:val="18"/>
                <w:u w:val="none"/>
                <w:lang w:val="en-US" w:eastAsia="zh-CN" w:bidi="ar"/>
              </w:rPr>
              <w:br w:type="textWrapping"/>
            </w:r>
            <w:r>
              <w:rPr>
                <w:rFonts w:hint="default" w:asciiTheme="minorAscii" w:hAnsiTheme="minorAscii" w:eastAsiaTheme="minorEastAsia" w:cstheme="minorEastAsia"/>
                <w:i w:val="0"/>
                <w:iCs w:val="0"/>
                <w:color w:val="000000"/>
                <w:kern w:val="0"/>
                <w:sz w:val="18"/>
                <w:szCs w:val="18"/>
                <w:u w:val="none"/>
                <w:lang w:val="en-US" w:eastAsia="zh-CN" w:bidi="ar"/>
              </w:rPr>
              <w:t>4. 链路提供单位必须保证网络传输稳定，可靠性符合国家相关规定，一年内全部节点累积断网、卡顿时间不得超过24h。</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4</w:t>
            </w:r>
          </w:p>
        </w:tc>
        <w:tc>
          <w:tcPr>
            <w:tcW w:w="72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站</w:t>
            </w:r>
          </w:p>
        </w:tc>
        <w:tc>
          <w:tcPr>
            <w:tcW w:w="660" w:type="dxa"/>
            <w:tcBorders>
              <w:top w:val="single" w:color="808080" w:sz="4" w:space="0"/>
              <w:left w:val="single" w:color="808080" w:sz="4" w:space="0"/>
              <w:bottom w:val="single" w:color="808080" w:sz="4" w:space="0"/>
              <w:right w:val="single" w:color="80808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left"/>
              <w:textAlignment w:val="center"/>
              <w:rPr>
                <w:rFonts w:hint="default" w:asciiTheme="minorAscii" w:hAnsiTheme="minorAscii" w:eastAsiaTheme="minorEastAsia" w:cstheme="minorEastAsia"/>
                <w:i w:val="0"/>
                <w:iCs w:val="0"/>
                <w:color w:val="000000"/>
                <w:kern w:val="0"/>
                <w:sz w:val="18"/>
                <w:szCs w:val="18"/>
                <w:u w:val="none"/>
                <w:lang w:val="en-US" w:eastAsia="zh-CN" w:bidi="ar"/>
              </w:rPr>
            </w:pPr>
          </w:p>
        </w:tc>
      </w:tr>
    </w:tbl>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heme="minorAscii" w:hAnsiTheme="minorAscii" w:eastAsiaTheme="minorEastAsia" w:cstheme="minorEastAsia"/>
          <w:sz w:val="24"/>
          <w:szCs w:val="24"/>
          <w:lang w:val="en-US" w:eastAsia="zh-CN"/>
        </w:rPr>
      </w:pPr>
    </w:p>
    <w:p>
      <w:pPr>
        <w:pStyle w:val="4"/>
        <w:spacing w:before="166" w:after="166"/>
        <w:rPr>
          <w:rFonts w:hint="default" w:asciiTheme="minorAscii" w:hAnsiTheme="minorAscii" w:eastAsiaTheme="minorEastAsia" w:cstheme="minorEastAsia"/>
          <w:sz w:val="24"/>
          <w:szCs w:val="24"/>
        </w:rPr>
      </w:pPr>
      <w:bookmarkStart w:id="125" w:name="_Toc10277"/>
      <w:r>
        <w:rPr>
          <w:rFonts w:hint="default" w:asciiTheme="minorAscii" w:hAnsiTheme="minorAscii" w:eastAsiaTheme="minorEastAsia" w:cstheme="minorEastAsia"/>
          <w:sz w:val="24"/>
          <w:szCs w:val="24"/>
        </w:rPr>
        <w:t>安全系统建设</w:t>
      </w:r>
      <w:bookmarkEnd w:id="125"/>
    </w:p>
    <w:p>
      <w:pPr>
        <w:pStyle w:val="5"/>
        <w:bidi w:val="0"/>
        <w:ind w:left="0" w:leftChars="0" w:firstLine="0" w:firstLineChars="0"/>
        <w:rPr>
          <w:rFonts w:hint="default" w:asciiTheme="minorAscii" w:hAnsiTheme="minorAscii" w:eastAsiaTheme="minorEastAsia" w:cstheme="minorEastAsia"/>
          <w:sz w:val="24"/>
          <w:szCs w:val="24"/>
        </w:rPr>
      </w:pPr>
      <w:bookmarkStart w:id="126" w:name="_Toc799"/>
      <w:r>
        <w:rPr>
          <w:rFonts w:hint="default" w:asciiTheme="minorAscii" w:hAnsiTheme="minorAscii" w:eastAsiaTheme="minorEastAsia" w:cstheme="minorEastAsia"/>
          <w:sz w:val="24"/>
          <w:szCs w:val="24"/>
        </w:rPr>
        <w:t>安全系统设计</w:t>
      </w:r>
      <w:bookmarkEnd w:id="126"/>
    </w:p>
    <w:p>
      <w:pPr>
        <w:pStyle w:val="7"/>
        <w:bidi w:val="0"/>
        <w:ind w:left="0" w:leftChars="0" w:firstLine="0" w:firstLineChars="0"/>
        <w:rPr>
          <w:rFonts w:hint="default" w:asciiTheme="minorAscii" w:hAnsiTheme="minorAscii" w:eastAsiaTheme="minorEastAsia" w:cstheme="minorEastAsia"/>
          <w:sz w:val="24"/>
          <w:szCs w:val="24"/>
        </w:rPr>
      </w:pPr>
      <w:bookmarkStart w:id="127" w:name="_Toc11162427"/>
      <w:bookmarkStart w:id="128" w:name="_Toc12160"/>
      <w:bookmarkStart w:id="129" w:name="_Toc11513749"/>
      <w:bookmarkStart w:id="130" w:name="_Toc14439"/>
      <w:bookmarkStart w:id="131" w:name="_Toc387082852"/>
      <w:bookmarkStart w:id="132" w:name="_Toc387096433"/>
      <w:bookmarkStart w:id="133" w:name="_Toc496607596"/>
      <w:r>
        <w:rPr>
          <w:rFonts w:hint="default" w:asciiTheme="minorAscii" w:hAnsiTheme="minorAscii" w:eastAsiaTheme="minorEastAsia" w:cstheme="minorEastAsia"/>
          <w:sz w:val="24"/>
          <w:szCs w:val="24"/>
        </w:rPr>
        <w:t>系统定级</w:t>
      </w:r>
      <w:bookmarkEnd w:id="127"/>
      <w:bookmarkEnd w:id="128"/>
      <w:bookmarkEnd w:id="129"/>
      <w:bookmarkEnd w:id="130"/>
    </w:p>
    <w:p>
      <w:pPr>
        <w:pStyle w:val="8"/>
        <w:spacing w:before="166" w:after="166"/>
        <w:rPr>
          <w:rFonts w:hint="default" w:asciiTheme="minorAscii" w:hAnsiTheme="minorAscii" w:eastAsiaTheme="minorEastAsia" w:cstheme="minorEastAsia"/>
          <w:sz w:val="24"/>
          <w:szCs w:val="24"/>
        </w:rPr>
      </w:pPr>
      <w:bookmarkStart w:id="134" w:name="_Toc11162428"/>
      <w:bookmarkStart w:id="135" w:name="_Toc11513750"/>
      <w:r>
        <w:rPr>
          <w:rFonts w:hint="default" w:asciiTheme="minorAscii" w:hAnsiTheme="minorAscii" w:eastAsiaTheme="minorEastAsia" w:cstheme="minorEastAsia"/>
          <w:sz w:val="24"/>
          <w:szCs w:val="24"/>
        </w:rPr>
        <w:t>安全等级划分</w:t>
      </w:r>
      <w:bookmarkEnd w:id="131"/>
      <w:bookmarkEnd w:id="132"/>
      <w:bookmarkEnd w:id="133"/>
      <w:bookmarkEnd w:id="134"/>
      <w:bookmarkEnd w:id="135"/>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按照公安部《信息安全技术 网络安全等级保护定级指南》(GB/T 22240-2020)（以下简称《定级指南》）的要求，信息系统的安全保护等级分为以下五级：</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第一级，等级保护对象受到破坏后，会对公民、法人和其他组织的合法权益造成损害，但不损害国家安全、社会秩序和公共利益；</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第二级，等级保护对象受到破坏后，会对公民、法人和其他组织的合法权益产生严重损害，或者对社会秩序和公共利益造成损害，但不损害国家安全；</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第三级，等级保护对象受到破坏后，会对公民、法人和其他组织的合法权益产生特别严重损害，或者对社会秩序和公共利益造成严重损害，或者对国家安全造成损害；</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第四级，等级保护对象受到破坏后，会对社会秩序和公共利益造成特别严重损害，或者对国家安全造成严重损害；</w:t>
      </w:r>
    </w:p>
    <w:p>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第五级，等级保护对象受到破坏后，会对国家安全造成特别严重损害。</w:t>
      </w:r>
    </w:p>
    <w:p>
      <w:pPr>
        <w:pStyle w:val="8"/>
        <w:spacing w:before="166" w:after="166"/>
        <w:rPr>
          <w:rFonts w:hint="default" w:asciiTheme="minorAscii" w:hAnsiTheme="minorAscii" w:eastAsiaTheme="minorEastAsia" w:cstheme="minorEastAsia"/>
          <w:sz w:val="24"/>
          <w:szCs w:val="24"/>
        </w:rPr>
      </w:pPr>
      <w:bookmarkStart w:id="136" w:name="_Toc11513751"/>
      <w:bookmarkStart w:id="137" w:name="_Toc11162429"/>
      <w:r>
        <w:rPr>
          <w:rFonts w:hint="default" w:asciiTheme="minorAscii" w:hAnsiTheme="minorAscii" w:eastAsiaTheme="minorEastAsia" w:cstheme="minorEastAsia"/>
          <w:sz w:val="24"/>
          <w:szCs w:val="24"/>
        </w:rPr>
        <w:t>定级流程</w:t>
      </w:r>
      <w:bookmarkEnd w:id="136"/>
      <w:bookmarkEnd w:id="137"/>
    </w:p>
    <w:p>
      <w:pPr>
        <w:tabs>
          <w:tab w:val="left" w:pos="0"/>
        </w:tabs>
        <w:ind w:firstLine="520"/>
        <w:rPr>
          <w:rFonts w:hint="default" w:asciiTheme="minorAscii" w:hAnsiTheme="minorAscii" w:eastAsiaTheme="minorEastAsia" w:cstheme="minorEastAsia"/>
          <w:color w:val="000000"/>
          <w:spacing w:val="10"/>
          <w:sz w:val="24"/>
          <w:szCs w:val="24"/>
        </w:rPr>
      </w:pPr>
      <w:r>
        <w:rPr>
          <w:rFonts w:hint="default" w:asciiTheme="minorAscii" w:hAnsiTheme="minorAscii" w:eastAsiaTheme="minorEastAsia" w:cstheme="minorEastAsia"/>
          <w:color w:val="000000"/>
          <w:spacing w:val="0"/>
          <w:sz w:val="24"/>
          <w:szCs w:val="24"/>
        </w:rPr>
        <w:t>等级保护对象定级工作的一般流程如图所示：</w:t>
      </w:r>
    </w:p>
    <w:p>
      <w:pPr>
        <w:spacing w:before="120"/>
        <w:ind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object>
          <v:shape id="_x0000_i1026" o:spt="75" type="#_x0000_t75" style="height:239.05pt;width:106.55pt;" o:ole="t" filled="f" o:preferrelative="t" stroked="f" coordsize="21600,21600">
            <v:path/>
            <v:fill on="f" focussize="0,0"/>
            <v:stroke on="f"/>
            <v:imagedata r:id="rId62" o:title=""/>
            <o:lock v:ext="edit" aspectratio="t"/>
            <w10:wrap type="none"/>
            <w10:anchorlock/>
          </v:shape>
          <o:OLEObject Type="Embed" ProgID="Visio.Drawing.11" ShapeID="_x0000_i1026" DrawAspect="Content" ObjectID="_1468075726">
            <o:LockedField>false</o:LockedField>
          </o:OLEObject>
        </w:object>
      </w:r>
    </w:p>
    <w:p>
      <w:pPr>
        <w:pStyle w:val="12"/>
        <w:jc w:val="center"/>
        <w:rPr>
          <w:rFonts w:hint="default" w:asciiTheme="minorAscii" w:hAnsiTheme="minorAscii" w:eastAsiaTheme="minorEastAsia" w:cstheme="minorEastAsia"/>
          <w:b/>
          <w:bCs/>
          <w:sz w:val="24"/>
          <w:szCs w:val="24"/>
        </w:rPr>
      </w:pPr>
      <w:bookmarkStart w:id="138" w:name="_Toc12300"/>
      <w:bookmarkStart w:id="139" w:name="_Toc25336"/>
      <w:r>
        <w:rPr>
          <w:rFonts w:hint="default" w:asciiTheme="minorAscii" w:hAnsiTheme="minorAscii" w:eastAsiaTheme="minorEastAsia" w:cstheme="minorEastAsia"/>
          <w:b/>
          <w:bCs/>
          <w:sz w:val="24"/>
          <w:szCs w:val="24"/>
          <w:lang w:val="en-US" w:eastAsia="zh-CN"/>
        </w:rPr>
        <w:t xml:space="preserve">图54 </w:t>
      </w:r>
      <w:r>
        <w:rPr>
          <w:rFonts w:hint="default" w:asciiTheme="minorAscii" w:hAnsiTheme="minorAscii" w:eastAsiaTheme="minorEastAsia" w:cstheme="minorEastAsia"/>
          <w:b/>
          <w:bCs/>
          <w:sz w:val="24"/>
          <w:szCs w:val="24"/>
        </w:rPr>
        <w:t>等级保护对象定级工作一般流程图</w:t>
      </w:r>
      <w:bookmarkEnd w:id="138"/>
      <w:bookmarkEnd w:id="139"/>
    </w:p>
    <w:p>
      <w:pPr>
        <w:keepNext w:val="0"/>
        <w:keepLines w:val="0"/>
        <w:pageBreakBefore w:val="0"/>
        <w:widowControl w:val="0"/>
        <w:tabs>
          <w:tab w:val="left" w:pos="0"/>
        </w:tabs>
        <w:kinsoku/>
        <w:wordWrap/>
        <w:overflowPunct/>
        <w:topLinePunct w:val="0"/>
        <w:autoSpaceDE/>
        <w:autoSpaceDN/>
        <w:bidi w:val="0"/>
        <w:adjustRightInd w:val="0"/>
        <w:snapToGrid w:val="0"/>
        <w:spacing w:before="167" w:beforeLines="5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1）确定作为定级对象的信息系统</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2）初步确定等级</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确定业务信息安全受到破坏时所侵害的客体；</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根据不同的受侵害客体，从多个方面综合评定业务信息安全被破坏对客体的侵害程度；</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根据业务信息安全等级矩阵表得到业务信息安全等级；</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确定系统服务安全受到破坏时所侵害的客体；</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根据不同的受侵害客体，从多个方面综合评定系统服务安全被破坏对客体的侵害程度；</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根据系统服务安全等级矩阵表得到系统服务安全等级；</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由业务信息安全等级和系统服务安全等级的较高者确定定级对象的安全保护等级。</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3）专家评审</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定级对象的运营、使用单位应组织信息安全专家和业务专家等，对初步定级结果的合理性进行评审，出具专家评审意见。</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4）主管部门审核</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定级对象的运营、使用单位应将初步定级结果上报行业主管部门或上级主管部门进行审核。</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5）公安机关审查</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定级对象的运营、使用单位应按照相关管理规定，将初步定级结果提交公安机关进行备案审查，审查不通过，其运营使用单位应组织重新定级；审查通过后最终确定定级对象的安全保护等级。</w:t>
      </w:r>
    </w:p>
    <w:p>
      <w:pPr>
        <w:keepNext w:val="0"/>
        <w:keepLines w:val="0"/>
        <w:pageBreakBefore w:val="0"/>
        <w:widowControl w:val="0"/>
        <w:tabs>
          <w:tab w:val="left" w:pos="0"/>
        </w:tabs>
        <w:kinsoku/>
        <w:wordWrap/>
        <w:overflowPunct/>
        <w:topLinePunct w:val="0"/>
        <w:autoSpaceDE/>
        <w:autoSpaceDN/>
        <w:bidi w:val="0"/>
        <w:adjustRightInd w:val="0"/>
        <w:snapToGrid w:val="0"/>
        <w:ind w:firstLine="520"/>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rPr>
        <w:t>网络安全等级保护信息系统等级确定步骤如下图流程所示。</w:t>
      </w:r>
    </w:p>
    <w:p>
      <w:pPr>
        <w:pStyle w:val="3"/>
        <w:spacing w:after="0" w:line="240" w:lineRule="auto"/>
        <w:ind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114300" distR="114300">
            <wp:extent cx="3856355" cy="2606040"/>
            <wp:effectExtent l="0" t="0" r="14605" b="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63"/>
                    <a:stretch>
                      <a:fillRect/>
                    </a:stretch>
                  </pic:blipFill>
                  <pic:spPr>
                    <a:xfrm>
                      <a:off x="0" y="0"/>
                      <a:ext cx="3856355" cy="260604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val="0"/>
        <w:spacing w:before="167" w:beforeLines="50" w:after="167" w:afterLines="50"/>
        <w:jc w:val="center"/>
        <w:textAlignment w:val="auto"/>
        <w:rPr>
          <w:rFonts w:hint="default" w:asciiTheme="minorAscii" w:hAnsiTheme="minorAscii" w:eastAsiaTheme="minorEastAsia" w:cstheme="minorEastAsia"/>
          <w:b/>
          <w:bCs/>
          <w:sz w:val="24"/>
          <w:szCs w:val="24"/>
        </w:rPr>
      </w:pPr>
      <w:bookmarkStart w:id="140" w:name="_Toc26060"/>
      <w:bookmarkStart w:id="141" w:name="_Toc19806"/>
      <w:bookmarkStart w:id="142" w:name="_Toc102183138"/>
      <w:bookmarkStart w:id="143" w:name="_Toc102140334"/>
      <w:r>
        <w:rPr>
          <w:rFonts w:hint="default" w:asciiTheme="minorAscii" w:hAnsiTheme="minorAscii" w:eastAsiaTheme="minorEastAsia" w:cstheme="minorEastAsia"/>
          <w:b/>
          <w:bCs/>
          <w:sz w:val="24"/>
          <w:szCs w:val="24"/>
          <w:lang w:val="en-US" w:eastAsia="zh-CN"/>
        </w:rPr>
        <w:t xml:space="preserve">图55 </w:t>
      </w:r>
      <w:r>
        <w:rPr>
          <w:rFonts w:hint="default" w:asciiTheme="minorAscii" w:hAnsiTheme="minorAscii" w:eastAsiaTheme="minorEastAsia" w:cstheme="minorEastAsia"/>
          <w:b/>
          <w:bCs/>
          <w:sz w:val="24"/>
          <w:szCs w:val="24"/>
        </w:rPr>
        <w:t>定级流程图</w:t>
      </w:r>
      <w:bookmarkEnd w:id="140"/>
      <w:bookmarkEnd w:id="141"/>
    </w:p>
    <w:bookmarkEnd w:id="142"/>
    <w:bookmarkEnd w:id="143"/>
    <w:p>
      <w:pPr>
        <w:tabs>
          <w:tab w:val="left" w:pos="0"/>
        </w:tabs>
        <w:ind w:firstLine="520"/>
        <w:rPr>
          <w:rFonts w:hint="default" w:asciiTheme="minorAscii" w:hAnsiTheme="minorAscii" w:eastAsiaTheme="minorEastAsia" w:cstheme="minorEastAsia"/>
          <w:color w:val="000000"/>
          <w:spacing w:val="10"/>
          <w:sz w:val="24"/>
          <w:szCs w:val="24"/>
        </w:rPr>
      </w:pPr>
      <w:r>
        <w:rPr>
          <w:rFonts w:hint="default" w:asciiTheme="minorAscii" w:hAnsiTheme="minorAscii" w:eastAsiaTheme="minorEastAsia" w:cstheme="minorEastAsia"/>
          <w:color w:val="000000"/>
          <w:spacing w:val="0"/>
          <w:sz w:val="24"/>
          <w:szCs w:val="24"/>
        </w:rPr>
        <w:t>根据业务信息安全被破坏时所侵害的客体以及对相应客体的侵害程度，依据业务信息安全保护等级矩阵表，即可得到业务信息安全保护等级。</w:t>
      </w:r>
    </w:p>
    <w:p>
      <w:pPr>
        <w:pStyle w:val="12"/>
        <w:keepNext/>
        <w:snapToGrid/>
        <w:jc w:val="center"/>
        <w:rPr>
          <w:rFonts w:hint="default" w:asciiTheme="minorAscii" w:hAnsiTheme="minorAscii" w:eastAsiaTheme="minorEastAsia" w:cstheme="minorEastAsia"/>
          <w:sz w:val="24"/>
          <w:szCs w:val="24"/>
        </w:rPr>
      </w:pPr>
      <w:bookmarkStart w:id="144" w:name="_Toc5220"/>
      <w:bookmarkStart w:id="145" w:name="_Toc11588"/>
      <w:r>
        <w:rPr>
          <w:rFonts w:hint="default" w:asciiTheme="minorAscii" w:hAnsiTheme="minorAscii" w:eastAsiaTheme="minorEastAsia" w:cstheme="minorEastAsia"/>
          <w:b/>
          <w:bCs/>
          <w:sz w:val="24"/>
          <w:szCs w:val="24"/>
        </w:rPr>
        <w:t>业务信息安全等级矩阵表</w:t>
      </w:r>
      <w:bookmarkEnd w:id="144"/>
      <w:bookmarkEnd w:id="145"/>
    </w:p>
    <w:tbl>
      <w:tblPr>
        <w:tblStyle w:val="18"/>
        <w:tblW w:w="8527"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7"/>
        <w:gridCol w:w="1191"/>
        <w:gridCol w:w="1389"/>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147" w:type="dxa"/>
            <w:vMerge w:val="restart"/>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
                <w:bCs w:val="0"/>
                <w:sz w:val="24"/>
                <w:szCs w:val="24"/>
              </w:rPr>
              <w:t>业务信息安全被破坏时所侵害的客体</w:t>
            </w:r>
          </w:p>
        </w:tc>
        <w:tc>
          <w:tcPr>
            <w:tcW w:w="4380" w:type="dxa"/>
            <w:gridSpan w:val="3"/>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
                <w:sz w:val="24"/>
                <w:szCs w:val="24"/>
              </w:rPr>
            </w:pPr>
            <w:r>
              <w:rPr>
                <w:rFonts w:hint="default" w:asciiTheme="minorAscii" w:hAnsiTheme="minorAscii" w:eastAsiaTheme="minorEastAsia" w:cstheme="minorEastAsia"/>
                <w:b/>
                <w:sz w:val="24"/>
                <w:szCs w:val="24"/>
              </w:rPr>
              <w:t>对相应客体的侵害程度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14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p>
        </w:tc>
        <w:tc>
          <w:tcPr>
            <w:tcW w:w="1191" w:type="dxa"/>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一般损害</w:t>
            </w:r>
          </w:p>
        </w:tc>
        <w:tc>
          <w:tcPr>
            <w:tcW w:w="1389" w:type="dxa"/>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严重损害</w:t>
            </w:r>
          </w:p>
        </w:tc>
        <w:tc>
          <w:tcPr>
            <w:tcW w:w="1800" w:type="dxa"/>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特别严重损害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147" w:type="dxa"/>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Cs/>
                <w:sz w:val="24"/>
                <w:szCs w:val="24"/>
              </w:rPr>
              <w:t>公民、法人和其他组织的合法权益</w:t>
            </w:r>
          </w:p>
        </w:tc>
        <w:tc>
          <w:tcPr>
            <w:tcW w:w="1191"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第一级</w:t>
            </w:r>
          </w:p>
        </w:tc>
        <w:tc>
          <w:tcPr>
            <w:tcW w:w="1389"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第二级</w:t>
            </w:r>
          </w:p>
        </w:tc>
        <w:tc>
          <w:tcPr>
            <w:tcW w:w="1800"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第二级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147" w:type="dxa"/>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Cs/>
                <w:sz w:val="24"/>
                <w:szCs w:val="24"/>
              </w:rPr>
              <w:t>社会秩序、公共利益</w:t>
            </w:r>
          </w:p>
        </w:tc>
        <w:tc>
          <w:tcPr>
            <w:tcW w:w="1191"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第二级</w:t>
            </w:r>
          </w:p>
        </w:tc>
        <w:tc>
          <w:tcPr>
            <w:tcW w:w="1389"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第三级</w:t>
            </w:r>
          </w:p>
        </w:tc>
        <w:tc>
          <w:tcPr>
            <w:tcW w:w="1800"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第四级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147" w:type="dxa"/>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Cs/>
                <w:sz w:val="24"/>
                <w:szCs w:val="24"/>
              </w:rPr>
              <w:t>国家安全</w:t>
            </w:r>
          </w:p>
        </w:tc>
        <w:tc>
          <w:tcPr>
            <w:tcW w:w="1191"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第三级</w:t>
            </w:r>
          </w:p>
        </w:tc>
        <w:tc>
          <w:tcPr>
            <w:tcW w:w="1389"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第四级</w:t>
            </w:r>
          </w:p>
        </w:tc>
        <w:tc>
          <w:tcPr>
            <w:tcW w:w="1800"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kern w:val="0"/>
                <w:sz w:val="24"/>
                <w:szCs w:val="24"/>
              </w:rPr>
            </w:pPr>
            <w:r>
              <w:rPr>
                <w:rFonts w:hint="default" w:asciiTheme="minorAscii" w:hAnsiTheme="minorAscii" w:eastAsiaTheme="minorEastAsia" w:cstheme="minorEastAsia"/>
                <w:kern w:val="0"/>
                <w:sz w:val="24"/>
                <w:szCs w:val="24"/>
              </w:rPr>
              <w:t>第五级</w:t>
            </w:r>
          </w:p>
        </w:tc>
      </w:tr>
    </w:tbl>
    <w:p>
      <w:pPr>
        <w:keepNext w:val="0"/>
        <w:keepLines w:val="0"/>
        <w:pageBreakBefore w:val="0"/>
        <w:widowControl w:val="0"/>
        <w:tabs>
          <w:tab w:val="left" w:pos="0"/>
        </w:tabs>
        <w:kinsoku/>
        <w:wordWrap/>
        <w:overflowPunct/>
        <w:topLinePunct w:val="0"/>
        <w:autoSpaceDE/>
        <w:autoSpaceDN/>
        <w:bidi w:val="0"/>
        <w:adjustRightInd w:val="0"/>
        <w:snapToGrid w:val="0"/>
        <w:spacing w:before="333" w:beforeLines="100"/>
        <w:ind w:firstLine="520"/>
        <w:textAlignment w:val="auto"/>
        <w:rPr>
          <w:rFonts w:hint="default" w:asciiTheme="minorAscii" w:hAnsiTheme="minorAscii" w:eastAsiaTheme="minorEastAsia" w:cstheme="minorEastAsia"/>
          <w:color w:val="000000"/>
          <w:spacing w:val="10"/>
          <w:sz w:val="24"/>
          <w:szCs w:val="24"/>
        </w:rPr>
      </w:pPr>
      <w:r>
        <w:rPr>
          <w:rFonts w:hint="default" w:asciiTheme="minorAscii" w:hAnsiTheme="minorAscii" w:eastAsiaTheme="minorEastAsia" w:cstheme="minorEastAsia"/>
          <w:color w:val="000000"/>
          <w:spacing w:val="0"/>
          <w:sz w:val="24"/>
          <w:szCs w:val="24"/>
        </w:rPr>
        <w:t>根据系统服务安全被破坏时所侵害的客体以及对相应客体的侵害程度，依据系统服务安全保护等级矩阵表，即可得到系统服务安全保护等级。</w:t>
      </w:r>
    </w:p>
    <w:p>
      <w:pPr>
        <w:pStyle w:val="12"/>
        <w:jc w:val="center"/>
        <w:rPr>
          <w:rFonts w:hint="default" w:asciiTheme="minorAscii" w:hAnsiTheme="minorAscii" w:eastAsiaTheme="minorEastAsia" w:cstheme="minorEastAsia"/>
          <w:b/>
          <w:bCs/>
          <w:sz w:val="24"/>
          <w:szCs w:val="24"/>
        </w:rPr>
      </w:pPr>
      <w:bookmarkStart w:id="146" w:name="_Toc4350"/>
      <w:bookmarkStart w:id="147" w:name="_Toc12635"/>
      <w:r>
        <w:rPr>
          <w:rFonts w:hint="default" w:asciiTheme="minorAscii" w:hAnsiTheme="minorAscii" w:eastAsiaTheme="minorEastAsia" w:cstheme="minorEastAsia"/>
          <w:b/>
          <w:bCs/>
          <w:sz w:val="24"/>
          <w:szCs w:val="24"/>
        </w:rPr>
        <w:t>系统服务安全等级矩阵表</w:t>
      </w:r>
      <w:bookmarkEnd w:id="146"/>
      <w:bookmarkEnd w:id="147"/>
    </w:p>
    <w:tbl>
      <w:tblPr>
        <w:tblStyle w:val="18"/>
        <w:tblW w:w="8537"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7"/>
        <w:gridCol w:w="1305"/>
        <w:gridCol w:w="1377"/>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157" w:type="dxa"/>
            <w:vMerge w:val="restart"/>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
                <w:bCs w:val="0"/>
                <w:sz w:val="24"/>
                <w:szCs w:val="24"/>
              </w:rPr>
              <w:t>系统服务安全被破坏时所侵害的客体</w:t>
            </w:r>
          </w:p>
        </w:tc>
        <w:tc>
          <w:tcPr>
            <w:tcW w:w="4380" w:type="dxa"/>
            <w:gridSpan w:val="3"/>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
                <w:sz w:val="24"/>
                <w:szCs w:val="24"/>
              </w:rPr>
              <w:t>对相应客体的侵害程度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157" w:type="dxa"/>
            <w:vMerge w:val="continue"/>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p>
        </w:tc>
        <w:tc>
          <w:tcPr>
            <w:tcW w:w="1305" w:type="dxa"/>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一般损害</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严重损害</w:t>
            </w:r>
          </w:p>
        </w:tc>
        <w:tc>
          <w:tcPr>
            <w:tcW w:w="1698" w:type="dxa"/>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特别严重损害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157" w:type="dxa"/>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Cs/>
                <w:sz w:val="24"/>
                <w:szCs w:val="24"/>
              </w:rPr>
              <w:t>公民、法人和其他组织的合法权益</w:t>
            </w:r>
          </w:p>
        </w:tc>
        <w:tc>
          <w:tcPr>
            <w:tcW w:w="1305"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第一级</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第二级</w:t>
            </w:r>
          </w:p>
        </w:tc>
        <w:tc>
          <w:tcPr>
            <w:tcW w:w="1698"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第二级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157" w:type="dxa"/>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Cs/>
                <w:sz w:val="24"/>
                <w:szCs w:val="24"/>
              </w:rPr>
              <w:t>社会秩序、公共利益</w:t>
            </w:r>
          </w:p>
        </w:tc>
        <w:tc>
          <w:tcPr>
            <w:tcW w:w="1305"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第二级</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第三级</w:t>
            </w:r>
          </w:p>
        </w:tc>
        <w:tc>
          <w:tcPr>
            <w:tcW w:w="1698"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第四级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157" w:type="dxa"/>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textAlignment w:val="auto"/>
              <w:rPr>
                <w:rFonts w:hint="default" w:asciiTheme="minorAscii" w:hAnsiTheme="minorAscii" w:eastAsiaTheme="minorEastAsia" w:cstheme="minorEastAsia"/>
                <w:bCs/>
                <w:sz w:val="24"/>
                <w:szCs w:val="24"/>
              </w:rPr>
            </w:pPr>
            <w:r>
              <w:rPr>
                <w:rFonts w:hint="default" w:asciiTheme="minorAscii" w:hAnsiTheme="minorAscii" w:eastAsiaTheme="minorEastAsia" w:cstheme="minorEastAsia"/>
                <w:bCs/>
                <w:sz w:val="24"/>
                <w:szCs w:val="24"/>
              </w:rPr>
              <w:t>国家安全</w:t>
            </w:r>
          </w:p>
        </w:tc>
        <w:tc>
          <w:tcPr>
            <w:tcW w:w="1305"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第三级</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第四级</w:t>
            </w:r>
          </w:p>
        </w:tc>
        <w:tc>
          <w:tcPr>
            <w:tcW w:w="1698" w:type="dxa"/>
            <w:vAlign w:val="center"/>
          </w:tcPr>
          <w:p>
            <w:pPr>
              <w:keepNext w:val="0"/>
              <w:keepLines w:val="0"/>
              <w:pageBreakBefore w:val="0"/>
              <w:widowControl/>
              <w:kinsoku/>
              <w:wordWrap/>
              <w:overflowPunct/>
              <w:topLinePunct w:val="0"/>
              <w:autoSpaceDE/>
              <w:autoSpaceDN/>
              <w:bidi w:val="0"/>
              <w:adjustRightInd w:val="0"/>
              <w:snapToGrid w:val="0"/>
              <w:spacing w:beforeLines="25" w:after="83" w:afterLines="25" w:line="240" w:lineRule="exact"/>
              <w:ind w:firstLine="0" w:firstLineChars="0"/>
              <w:jc w:val="center"/>
              <w:textAlignment w:val="auto"/>
              <w:rPr>
                <w:rFonts w:hint="default" w:asciiTheme="minorAscii" w:hAnsiTheme="minorAscii" w:eastAsiaTheme="minorEastAsia" w:cstheme="minorEastAsia"/>
                <w:bCs/>
                <w:kern w:val="0"/>
                <w:sz w:val="24"/>
                <w:szCs w:val="24"/>
              </w:rPr>
            </w:pPr>
            <w:r>
              <w:rPr>
                <w:rFonts w:hint="default" w:asciiTheme="minorAscii" w:hAnsiTheme="minorAscii" w:eastAsiaTheme="minorEastAsia" w:cstheme="minorEastAsia"/>
                <w:bCs/>
                <w:kern w:val="0"/>
                <w:sz w:val="24"/>
                <w:szCs w:val="24"/>
              </w:rPr>
              <w:t>第五级</w:t>
            </w:r>
          </w:p>
        </w:tc>
      </w:tr>
    </w:tbl>
    <w:p>
      <w:pPr>
        <w:pStyle w:val="8"/>
        <w:keepNext/>
        <w:keepLines/>
        <w:pageBreakBefore w:val="0"/>
        <w:widowControl w:val="0"/>
        <w:kinsoku/>
        <w:wordWrap/>
        <w:overflowPunct/>
        <w:topLinePunct w:val="0"/>
        <w:autoSpaceDE/>
        <w:autoSpaceDN/>
        <w:bidi w:val="0"/>
        <w:adjustRightInd/>
        <w:snapToGrid w:val="0"/>
        <w:spacing w:before="333" w:beforeLines="100" w:after="166"/>
        <w:textAlignment w:val="auto"/>
        <w:rPr>
          <w:rFonts w:hint="default" w:asciiTheme="minorAscii" w:hAnsiTheme="minorAscii" w:eastAsiaTheme="minorEastAsia" w:cstheme="minorEastAsia"/>
          <w:sz w:val="24"/>
          <w:szCs w:val="24"/>
        </w:rPr>
      </w:pPr>
      <w:bookmarkStart w:id="148" w:name="_Toc11513753"/>
      <w:bookmarkStart w:id="149" w:name="_Toc11162431"/>
      <w:bookmarkStart w:id="150" w:name="_Toc32451"/>
      <w:r>
        <w:rPr>
          <w:rFonts w:hint="default" w:asciiTheme="minorAscii" w:hAnsiTheme="minorAscii" w:eastAsiaTheme="minorEastAsia" w:cstheme="minorEastAsia"/>
          <w:sz w:val="24"/>
          <w:szCs w:val="24"/>
        </w:rPr>
        <w:t>定级方案</w:t>
      </w:r>
    </w:p>
    <w:p>
      <w:pPr>
        <w:tabs>
          <w:tab w:val="left" w:pos="0"/>
        </w:tabs>
        <w:ind w:firstLine="520"/>
        <w:rPr>
          <w:rFonts w:hint="default" w:asciiTheme="minorAscii" w:hAnsiTheme="minorAscii" w:eastAsiaTheme="minorEastAsia" w:cstheme="minorEastAsia"/>
          <w:color w:val="000000"/>
          <w:spacing w:val="10"/>
          <w:sz w:val="24"/>
          <w:szCs w:val="24"/>
        </w:rPr>
      </w:pPr>
      <w:bookmarkStart w:id="151" w:name="_Toc1482532340"/>
      <w:bookmarkStart w:id="152" w:name="_Toc29785"/>
      <w:r>
        <w:rPr>
          <w:rFonts w:hint="default" w:asciiTheme="minorAscii" w:hAnsiTheme="minorAscii" w:eastAsiaTheme="minorEastAsia" w:cstheme="minorEastAsia"/>
          <w:color w:val="000000"/>
          <w:spacing w:val="0"/>
          <w:sz w:val="24"/>
          <w:szCs w:val="24"/>
        </w:rPr>
        <w:t>本项目系统安全保护等级预定为等保第三级。</w:t>
      </w:r>
    </w:p>
    <w:p>
      <w:pPr>
        <w:pStyle w:val="5"/>
        <w:rPr>
          <w:rFonts w:hint="default" w:asciiTheme="minorAscii" w:hAnsiTheme="minorAscii" w:eastAsiaTheme="minorEastAsia" w:cstheme="minorEastAsia"/>
          <w:sz w:val="24"/>
          <w:szCs w:val="24"/>
        </w:rPr>
      </w:pPr>
      <w:bookmarkStart w:id="153" w:name="_Toc26527"/>
      <w:bookmarkStart w:id="154" w:name="_Toc9991"/>
      <w:bookmarkStart w:id="155" w:name="_Toc27354"/>
      <w:bookmarkStart w:id="156" w:name="_Toc17035"/>
      <w:bookmarkStart w:id="157" w:name="_Toc21102"/>
      <w:r>
        <w:rPr>
          <w:rFonts w:hint="default" w:asciiTheme="minorAscii" w:hAnsiTheme="minorAscii" w:eastAsiaTheme="minorEastAsia" w:cstheme="minorEastAsia"/>
          <w:sz w:val="24"/>
          <w:szCs w:val="24"/>
        </w:rPr>
        <w:t>平台安全建设方案</w:t>
      </w:r>
      <w:bookmarkEnd w:id="153"/>
      <w:bookmarkEnd w:id="154"/>
      <w:bookmarkEnd w:id="155"/>
      <w:bookmarkEnd w:id="156"/>
      <w:bookmarkEnd w:id="157"/>
    </w:p>
    <w:p>
      <w:pPr>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平台安全建设按照等级保护2.0将网络安全纵深按照一个中心三重防御的方式进行部署，即：物理环境、安全管理中心、通信网络、区域边界、计算环境几个维度。对每个维度的安全能力要求如下：</w:t>
      </w:r>
    </w:p>
    <w:p>
      <w:pPr>
        <w:ind w:firstLine="0" w:firstLineChars="0"/>
        <w:jc w:val="center"/>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drawing>
          <wp:inline distT="0" distB="0" distL="0" distR="0">
            <wp:extent cx="5274310" cy="3028950"/>
            <wp:effectExtent l="0" t="0" r="13970" b="381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4310" cy="3029220"/>
                    </a:xfrm>
                    <a:prstGeom prst="rect">
                      <a:avLst/>
                    </a:prstGeom>
                    <a:noFill/>
                    <a:ln>
                      <a:noFill/>
                    </a:ln>
                  </pic:spPr>
                </pic:pic>
              </a:graphicData>
            </a:graphic>
          </wp:inline>
        </w:drawing>
      </w:r>
    </w:p>
    <w:p>
      <w:pPr>
        <w:numPr>
          <w:ilvl w:val="0"/>
          <w:numId w:val="0"/>
        </w:numPr>
        <w:tabs>
          <w:tab w:val="left" w:pos="0"/>
        </w:tabs>
        <w:ind w:leftChars="0"/>
        <w:jc w:val="center"/>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 xml:space="preserve">图56 </w:t>
      </w:r>
      <w:r>
        <w:rPr>
          <w:rFonts w:hint="default" w:asciiTheme="minorAscii" w:hAnsiTheme="minorAscii" w:eastAsiaTheme="minorEastAsia" w:cstheme="minorEastAsia"/>
          <w:b/>
          <w:bCs/>
          <w:sz w:val="24"/>
          <w:szCs w:val="24"/>
        </w:rPr>
        <w:t>安全能力</w:t>
      </w:r>
    </w:p>
    <w:p>
      <w:pPr>
        <w:pStyle w:val="7"/>
        <w:pageBreakBefore w:val="0"/>
        <w:widowControl w:val="0"/>
        <w:kinsoku/>
        <w:wordWrap/>
        <w:overflowPunct/>
        <w:topLinePunct w:val="0"/>
        <w:autoSpaceDE/>
        <w:autoSpaceDN/>
        <w:bidi w:val="0"/>
        <w:snapToGrid/>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安全物理环境设计</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（1）供电系统</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数据中心机房的供配电系统要求能保证对机房内的主机、服务器、网络设备、通信设备等的电源供应在任何情况下都不会间断，这就要求两路以上的市电供应，还有能保证足够时间供电的UPS系统。</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（2）防雷接地</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为了保证数据中心机房因设备物理安全问题而受干扰，要求机房采用大楼联合体接地，即计算机设备接地（机柜接地）、配电系统接地、安全保护接地、防雷保护地。</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（3）温湿控制</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为了保证数据中心机房因设备物理安全问题而受干扰，要求政务云机房配备温湿控制系统来对机房内温湿度进行控制，保障设备安全。</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（4）消防报警及自动灭火</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为了保证数据中心机房因设备物理安全问题而受干扰，还应该设计火灾自动检测及报警系统，以便能自动监测火灾的发生，并且启动自动灭火系统和报警系统。</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（5）门禁</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数据中心机房应建立实用、高效的门禁系统，门禁系统需要注意的原则是安全可靠、简单易用、分级制度、中央控制和多种识别方式的结合。</w:t>
      </w:r>
    </w:p>
    <w:p>
      <w:pPr>
        <w:pStyle w:val="7"/>
        <w:pageBreakBefore w:val="0"/>
        <w:widowControl w:val="0"/>
        <w:kinsoku/>
        <w:wordWrap/>
        <w:overflowPunct/>
        <w:topLinePunct w:val="0"/>
        <w:autoSpaceDE/>
        <w:autoSpaceDN/>
        <w:bidi w:val="0"/>
        <w:snapToGrid/>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安全通信网络设计</w:t>
      </w:r>
    </w:p>
    <w:p>
      <w:pPr>
        <w:pStyle w:val="29"/>
        <w:pageBreakBefore w:val="0"/>
        <w:widowControl w:val="0"/>
        <w:numPr>
          <w:ilvl w:val="0"/>
          <w:numId w:val="35"/>
        </w:numPr>
        <w:kinsoku/>
        <w:wordWrap/>
        <w:overflowPunct/>
        <w:topLinePunct w:val="0"/>
        <w:autoSpaceDE/>
        <w:autoSpaceDN/>
        <w:bidi w:val="0"/>
        <w:adjustRightInd w:val="0"/>
        <w:snapToGrid/>
        <w:spacing w:line="300" w:lineRule="exact"/>
        <w:ind w:firstLineChars="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网络架构安全</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网络架构的安全是网络安全的前提和基础，对于数据中心，选用主要网络设备时需要考虑业务处理能力的高峰数据流量，要考虑冗余空间满足业务高峰期需要，网络各个部分的带宽要保证接入网络和核心网络满足业务高峰期需要；按照业务系统服务的重要次序定义带宽分配的优先级，在网络拥堵时优先保障重要主机。</w:t>
      </w:r>
    </w:p>
    <w:p>
      <w:pPr>
        <w:pStyle w:val="29"/>
        <w:pageBreakBefore w:val="0"/>
        <w:widowControl w:val="0"/>
        <w:numPr>
          <w:ilvl w:val="0"/>
          <w:numId w:val="35"/>
        </w:numPr>
        <w:kinsoku/>
        <w:wordWrap/>
        <w:overflowPunct/>
        <w:topLinePunct w:val="0"/>
        <w:autoSpaceDE/>
        <w:autoSpaceDN/>
        <w:bidi w:val="0"/>
        <w:adjustRightInd w:val="0"/>
        <w:snapToGrid/>
        <w:spacing w:line="300" w:lineRule="exact"/>
        <w:ind w:firstLineChars="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安全区域划分</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根据数据中心机房网络各个组成部分的业务功能、安全保护级别、访问需求等进行安全域划分，具体包括出口区、网络交换区、虚拟化区，网络交换区、计算资源区、安全数据交换区等。</w:t>
      </w:r>
    </w:p>
    <w:p>
      <w:pPr>
        <w:pStyle w:val="29"/>
        <w:pageBreakBefore w:val="0"/>
        <w:widowControl w:val="0"/>
        <w:numPr>
          <w:ilvl w:val="0"/>
          <w:numId w:val="35"/>
        </w:numPr>
        <w:kinsoku/>
        <w:wordWrap/>
        <w:overflowPunct/>
        <w:topLinePunct w:val="0"/>
        <w:autoSpaceDE/>
        <w:autoSpaceDN/>
        <w:bidi w:val="0"/>
        <w:adjustRightInd w:val="0"/>
        <w:snapToGrid/>
        <w:spacing w:line="300" w:lineRule="exact"/>
        <w:ind w:firstLineChars="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网络架构可靠</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为保证网络业务的连续性，应考虑提供关键节点的硬件冗余设计，包括通信线路（含业务数据链路和带外管理链路）、网络设备、安全设备、计算设备，并部署链路负载。</w:t>
      </w:r>
    </w:p>
    <w:p>
      <w:pPr>
        <w:pStyle w:val="29"/>
        <w:pageBreakBefore w:val="0"/>
        <w:widowControl w:val="0"/>
        <w:numPr>
          <w:ilvl w:val="0"/>
          <w:numId w:val="35"/>
        </w:numPr>
        <w:kinsoku/>
        <w:wordWrap/>
        <w:overflowPunct/>
        <w:topLinePunct w:val="0"/>
        <w:autoSpaceDE/>
        <w:autoSpaceDN/>
        <w:bidi w:val="0"/>
        <w:snapToGrid/>
        <w:spacing w:line="300" w:lineRule="exact"/>
        <w:ind w:firstLineChars="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通信完整性和保密性</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由于网络协议及文件格式均具有标准、开发、公开的特征，因此数据在网上存储和传输过程中，不仅仅面临信息丢失、信息重复或信息传送的自身错误，而且会遭遇信息攻击或欺诈行为，导致最终信息收发的差异性。因此，在信息传输和存储过程中，必须要确保信息内容在发送、接收及保存的一致性；并在信息遭受篡改攻击的情况下，应提供有效的察觉与发现机制，实现通信的完整性。</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而数据在传输过程中，为能够抵御不良企图者采取的各种攻击，防止遭到窃取，应采用加密措施保证数据的机密性。</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对于信息传输和存储的完整性校验可以采用的技术包括校验码技术、消息鉴别码、密码校验函数、散列函数、数字签名等技术手段。</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对于信息传输的完整性校验应由传输加密系统完成，通过识别传输协议类型对网络数据进行隧道封装，为用户认证提供安全加密传输，并实现全业务数据在复杂网络环境下的传输。对于信息存储的完整性校验应由应用系统和数据库系统完成。部署安全接入网关或下一代防火墙来实现。</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对于信息传输的通信保密性应由传输加密系统完成，部署SSLVPN系统或下一代防火墙保证远程数据传输的数据保密性。</w:t>
      </w:r>
    </w:p>
    <w:p>
      <w:pPr>
        <w:pStyle w:val="29"/>
        <w:pageBreakBefore w:val="0"/>
        <w:widowControl w:val="0"/>
        <w:numPr>
          <w:ilvl w:val="0"/>
          <w:numId w:val="35"/>
        </w:numPr>
        <w:kinsoku/>
        <w:wordWrap/>
        <w:overflowPunct/>
        <w:topLinePunct w:val="0"/>
        <w:autoSpaceDE/>
        <w:autoSpaceDN/>
        <w:bidi w:val="0"/>
        <w:snapToGrid/>
        <w:spacing w:line="300" w:lineRule="exact"/>
        <w:ind w:firstLineChars="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通信网络可信验证</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随着信息技术的不断发展，信息系统安全问题愈演愈烈，之后网络安全行业兴起，攻防技术层出不穷、不断升级。传统的计算机体系结构过多地强调了计算功能，忽略了安全防护，这相当于一个人没有免疫系统，只能生活在无菌状态下。可信计算的目标就是要为信息系统构建安全可信的计算环境，提升信息系统的免疫力，可信计算是基于密码的计算机体系架构安全技术，理论上可很大程度解决恶意软件非授权安装/运行、设备网络假冒等问题。</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应选择具备可信芯片的网络通信设备（路由器、交换机），保证网络身份可信，防止网络通信设备假冒。可信芯片有唯一芯片号、公私钥对，可参与通信过程身份认证及加密。可信网络通信设备以密码芯片为可信根，通过散列算法实现完整性度量，通过非对称算法提供身份认证，通过对称算法提供数据加密，为密码算法、密钥、度量值、密码运算等提供更单纯、安全的安全芯片环境。</w:t>
      </w:r>
    </w:p>
    <w:p>
      <w:pPr>
        <w:pStyle w:val="7"/>
        <w:pageBreakBefore w:val="0"/>
        <w:widowControl w:val="0"/>
        <w:kinsoku/>
        <w:wordWrap/>
        <w:overflowPunct/>
        <w:topLinePunct w:val="0"/>
        <w:autoSpaceDE/>
        <w:autoSpaceDN/>
        <w:bidi w:val="0"/>
        <w:snapToGrid/>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安全区域边界设计</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网络划分安全区域后，在不同信任级别的安全区域之间就形成了网络边界。等级保护安全区域边界是对定级系统的安全计算环境边界，以及安全计算环境与安全通信网络之间实现连接并实施安全策略。本方案中，在区域边界的安全防御能力包括如下几个方面：边界防护、访问控制、入侵防范、恶意代码和垃圾邮件防范、安全审计、可信验证。</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1）边界安全防护</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边界安全防护的检查重点是保证所有跨越边界的访问和数据流均通过边界控制设备进行检查，其中包括限制非授权设备的接入，非授权用户外联，以及无线用户的接入限制。</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2）边界访问控制</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通过对数据中心网络的边界风险与需求分析，在互联网出口区部署2台出口防火墙，在电子政务外网出口区部署2台管理防火墙，以及在互联网和电子政务外网核心区域分别部署1台WEB应用防火墙，可以对所有流经防火墙的数据包按照严格的安全规则进行过滤，将所有不安全的或不符合安全规则的数据包屏蔽，杜绝越权访问，防止各类非法攻击行为，尤其针对web应用，将对网络防火墙过滤后的流量进一步检测。</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3）边界入侵防范</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在各区域边界，防火墙起到了协议过滤的主要作用，根据安全策略在偏重在网络层判断数据包的合法流动。面对越来越广泛的基于应用层内容的攻击行为，防火墙需开启IPS入侵防御的功能，IPS是安全防护体系中重要的一环，它能够及时识别网络中发生的入侵行为并实时报警并且进行有效拦截防护。</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4）边界安全审计</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各安全区域边界已经部署了相应的安全设备负责进行区域边界的安全，各类安全设备产生的日志可反映网络及业务的运行状态。对于流经各主要边界需要设置必要的审计机制，进行数据监视并记录各类操作，通过审计分析能够发现跨区域的安全威胁，实时地综合分析出网络中发生的安全事件。一般可采取开启边界安全设备的审计功能模块，根据审计策略进行数据的日志记录与审计。同时审计信息要通过安全管理中心的综合日志审计系统进行统一集中管理，利于管理中心进行全局管控。</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5）边界可信验证</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遵循可信计算规范，具备可鉴别、完整性、私密性三大属性，支持用户的身份认证，平台软硬件配置的正确性，应用程序的完整性和合法性，平台之间的可验证性。本方案中建议边界防护设备应基于可信根设计，提供如下能力，基于可信根对边界设备的系统引导程序、系统程序、重要配置参数和边界防护应用程序等进行可信验证，并在应用程序的关键执行环节进行动态可信验证，在检测到其可信性受到破坏后进行报警，并将验证结果形成审计记录送至安全管理中心。</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边界防护设备在系统上电后首先运行可信根，并将度量值扩展到引导程序，引导程序度量系统程序扩展到系统程序，系统程序可以根据配置策略度量文件并将度量值扩展，执行应用程序。</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 xml:space="preserve">6）API安全设计 </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字底座各服务可通过公开的API进行配置管理，对接用户已有的IT管理和审计系统。考虑到API对云服务承载的重要功能和其在HTTP应用层面临的安全威胁，业界普遍把API视为云服务至关重要的安全边界，采用多重机制和措施进行重点保护。调用开放的API是通过API网关实现的。API网关支持以下机制和场景使API得到有效保护：</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sz w:val="24"/>
          <w:szCs w:val="24"/>
        </w:rPr>
        <w:t>①</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身份认证及鉴权</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对每个API请求通过与身份认证平台的集成进行身份验证，确保只有经过身份验证的用户才能访问和管理云监控信息，且传输通道通过TLS加密。</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客户通过API命令接口来管理虚拟机，API命令的权限管理直接关系到虚拟机的安全性。API网关对用户命令支持二级权限管理。用户发出命令时，不仅需要通过统一身份认证平台的身份登录和鉴权，而且命令也需要经过API网关的检查鉴权。用户有权限执行该命令时，命令才可以通过API网关并下发到平台层或应用层执行。平台层或应用层接到命令后，会再次对用户的权限进行检查判断，只有用户确实拥有当前API命令的执行权限，命令才允许执行。</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所有的访问请求可以通过两种方式认证：</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令牌(token)认证：认证请求会包含一个认证的token，该token由客户通过使用统一身份认证平台注册的用户名及密码调用统一身份认证平台接口获取。</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访问密钥ID/访问密钥(AK/SK–AccessKeyID/SecretAccessKey)认证：认证请求会包含AK/SK的鉴权信息，API网关的AK/SK鉴权机制要求客户端在获取AK/SK信息后，通过API网关发布的官方SDK进行签名，将包含签名信息的请求发送到API网关，API网关将对签名信息进行认证校验。</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②</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传输保护</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API调用需使用TLS加密以保证传输的机密性。目前API网关所有对外网开放的API均使用TLS1.2版本加密协议，并且支持PFS（PerfectForwardSecrecy）安全特性。TLS1.2版本是目前最成熟也最安全可靠的TLS协议版本。</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③</w:t>
      </w:r>
      <w:r>
        <w:rPr>
          <w:rFonts w:hint="default" w:asciiTheme="minorAscii" w:hAnsiTheme="minorAscii" w:eastAsiaTheme="minorEastAsia" w:cstheme="minorEastAsia"/>
          <w:sz w:val="24"/>
          <w:szCs w:val="24"/>
          <w:lang w:val="en-US" w:eastAsia="zh-CN"/>
        </w:rPr>
        <w:t xml:space="preserve"> </w:t>
      </w:r>
      <w:r>
        <w:rPr>
          <w:rFonts w:hint="default" w:asciiTheme="minorAscii" w:hAnsiTheme="minorAscii" w:eastAsiaTheme="minorEastAsia" w:cstheme="minorEastAsia"/>
          <w:sz w:val="24"/>
          <w:szCs w:val="24"/>
        </w:rPr>
        <w:t>边界防护</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API网关通过负载均衡器对TLS加密传输进行解密，多层高级边界防护机制可对API网关流量明文进行监控，对攻击执行阻断。在高级边界防护的基础上，API网关作为云服务特有的安全边界还提供以下多种防护措施：</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API注册：只有在API网关上注册的API接口，才能被客户访问。</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ACL规则限制：该功能允许客户自行配置特定的客户信息和网段信息。客户可根据访问控制列表（ACL–AccessControlList）配置信息，API网关能有限开放API给特定客户访问，或者有限开放API从特定网段访问，同时ACL规则默认限定管理域账号（op_service）防止从外部网络调用管理域接口。</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防重放攻击：当API网关接受过期请求时，将会执行拒绝措施防止重放攻击。</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防</w:t>
      </w:r>
      <w:r>
        <w:rPr>
          <w:rFonts w:hint="default" w:asciiTheme="minorAscii" w:hAnsiTheme="minorAscii" w:eastAsiaTheme="minorEastAsia" w:cstheme="minorEastAsia"/>
          <w:spacing w:val="-6"/>
          <w:sz w:val="24"/>
          <w:szCs w:val="24"/>
        </w:rPr>
        <w:t>暴力破解：当接受某个AK/SK请求时，API网关的防暴力破解机制一旦监测到失败请求次数已超出API网关所设定允许次数，会拒绝该请求并执行限时锁定。</w:t>
      </w:r>
    </w:p>
    <w:p>
      <w:pPr>
        <w:pageBreakBefore w:val="0"/>
        <w:widowControl w:val="0"/>
        <w:kinsoku/>
        <w:wordWrap/>
        <w:overflowPunct/>
        <w:topLinePunct w:val="0"/>
        <w:autoSpaceDE/>
        <w:autoSpaceDN/>
        <w:bidi w:val="0"/>
        <w:adjustRightInd w:val="0"/>
        <w:snapToGrid/>
        <w:spacing w:line="300" w:lineRule="exact"/>
        <w:ind w:firstLine="482"/>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API流量控制</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API网关实现对用户调用API的频率的适当流量控制，确保基于API的访问的高可用性和连续性。API网关提供针对API级别和客户级别的分钟级流控配置。每个开放的API在API网关需要配置对应的流控信息，在单位时间（分钟）内，每个API基于所有客户调用该API次数的配额、每个客户调用该API次数的配额分别进行流控。</w:t>
      </w:r>
    </w:p>
    <w:p>
      <w:pPr>
        <w:pStyle w:val="7"/>
        <w:pageBreakBefore w:val="0"/>
        <w:widowControl w:val="0"/>
        <w:kinsoku/>
        <w:wordWrap/>
        <w:overflowPunct/>
        <w:topLinePunct w:val="0"/>
        <w:autoSpaceDE/>
        <w:autoSpaceDN/>
        <w:bidi w:val="0"/>
        <w:snapToGrid/>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安全计算环境设计</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1）主机安全</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主机系统安全是包括云平台自身物理主机或服务器操作系统及数据库系统层面的安全。包括应用程序、网络、web、文件与通信等服务器，主机系统是构成信息系统的主要部分，其上承载着各种应用。因此，主机系统安全是保护信息系统安全的中坚力量。</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主机系统安全由政务云提供。</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2）运维安全管控和审计</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在数据中心机房政务外网及互联网各部署1套运维审计（堡垒主机），在系统运维人员和信息系统（网络、主机、数据库、应用等）之间搭建一个唯一的入口和统一的交互的界面，针对信息系统中关键软硬件设备运维的行为进行管控及审计。通过将各设备、应用系统的管理接口，通过强制策略路由的方式，转发至堡垒主机，从而完成反向代理的部署模式，实现对管理用户的身份鉴别。</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3）应用安全</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通过网络、主机系统的安全防护，最终应用安全成为信息系统整体防御的最后一道防线。在应用层面运行着信息系统的基于网络的应用以及特定业务应用。基于网络的应用是形成其他应用的基础，包括消息发送、web浏览等，可以说是基本的应用。因此在网站系统应用软件的安全方面要考虑：身份鉴别、访问控制、安全审计、入侵防范方面的安全问题，这些问题在很大程度上由网站系统应用软件的开发商在应用软件的设计和开发阶段就需要考虑。</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在数据中心机房政务外网及互联网的WEB服务或应用服务器前端部署专业的WEB应用防火墙（WAF），对WEB应用服务和网页内容进行防护，屏蔽对网站的攻击和篡改行为，实现防跨站攻击、防SQL注入、防止黑客入侵、网页防篡改等功能，从而更有效地对网站服务器系统及网页内容进行安全保护，从应用和业务逻辑层面真正解决WEB网站安全问题。</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 xml:space="preserve">4）虚拟化安全设计 </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作为数字底座平台操作系统，统一虚拟化平台通过对服务器物理资源的抽象，将CPU、内存、I/O等物理资源转化为一组统一管理、可灵活调度、可动态分配的逻辑资源，并基于这些逻辑资源，在单个物理服务器上构建多个同时运行、相互隔离的虚拟机执行环境。</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为保证虚拟化平台安全，数字底座对主机操作系统进行最小化裁剪并对服务做安全加固。同时，对接入主机操作系统的数字底座管理员执行严格的权限访问控制(PAM–PrivilegeAccessManagement)，对其所执行的各项运维运营操作实行全面的日志审计。数字底座管理员必须经过双因子认证后，才能通过跳板机接入管理平面，所有操作都会记录日志并及时传送到集中日志审计系统。</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虚拟化平台直接运行于物理服务器之上，基于硬件辅助虚拟化技术提供虚拟化能力，为虚拟机提供运行环境。虚拟化平台需要保证虚拟机运行在合法的空间内，避免某个虚拟机对虚拟化平台或其他虚拟机发起攻击。</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虚拟化平台通过CPU隔离、内存隔离和I/O隔离等技术手段实现虚拟主机操作系统与访客虚拟机操作系统之间的隔离，并通过Hypervisor让虚拟主机操作系统与访客虚拟机操作系统使用不同的权限运行，来保证平台系统资源的安全。</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1）CPU隔离</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虚拟化平台基于业界通用的硬件辅助虚拟化技术实现。基于硬件虚拟化的CPU隔离主要是指虚拟化平台与虚拟机之间的隔离，虚拟机内部的权限分配和虚拟机与虚拟机之间的隔离。CPU隔离是通过Root和Non-Root两种运行模式的切换、各运行模式下的运行权限分配以及以VCPU（VirtualCPU）的形式呈现的虚拟计算资源的分配与切换等方式来实现的。通过CPU隔离机制，虚拟化平台可以控制虚拟机对物理设备以及虚拟化运行环境的访问权限，从而实现虚拟化平台与虚拟机之间以及不同虚拟机之间在信息和资源上的隔离，也就是说，一个虚拟机无法获取到其他虚拟机或虚拟化平台的信息和资源。</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2）内存隔离</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虚拟化平台还负责为虚拟机提供内存资源，保证每个虚拟机只能访问到其自身的内存。为实现这个目标，虚拟化平台管理虚拟机内存与真实物理内存之间的映射关系。保证虚拟机内存与物理内存之间形成一一映射关系。虚拟机对内存的访问都会经过虚拟化层的地址转换，保证每个虚拟机只能访问到分配给它的物理内存，无法访问属于其他虚拟机或虚拟化平台自身使用的内存。</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3）I/O隔离</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虚拟化平台还给虚拟机提供了虚拟I/O设备，包括磁盘、网卡、鼠标、键盘等。虚拟化平台为每个虚拟机提供独立的设备，避免多个虚拟机共享设备造成的信息泄露。</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每个虚拟磁盘对应虚拟化平台上的一个镜像文件或逻辑卷，虚拟化平台控制只有一个虚拟机的一个虚拟磁盘设备跟一个镜像文件关联。实现了虚拟机使用的虚拟设备与虚拟化平台I/O管理对象之间一一对应的关系，保证虚拟机之间无法相互访问I/O设备，实现I/O路径的隔离。</w:t>
      </w:r>
    </w:p>
    <w:p>
      <w:pPr>
        <w:pStyle w:val="7"/>
        <w:pageBreakBefore w:val="0"/>
        <w:widowControl w:val="0"/>
        <w:kinsoku/>
        <w:wordWrap/>
        <w:overflowPunct/>
        <w:topLinePunct w:val="0"/>
        <w:autoSpaceDE/>
        <w:autoSpaceDN/>
        <w:bidi w:val="0"/>
        <w:snapToGrid/>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安全管理中心设计</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等级保护对安全管理中心明确提出技术要求，针对系统的安全策略及安全计算环境、安全区域边界和安全通信网络三个部分的安全机制，形成一个统一的安全管理中心，实现统一管理、统一监控、统一审计。</w:t>
      </w:r>
    </w:p>
    <w:p>
      <w:pPr>
        <w:pStyle w:val="29"/>
        <w:pageBreakBefore w:val="0"/>
        <w:widowControl w:val="0"/>
        <w:numPr>
          <w:ilvl w:val="0"/>
          <w:numId w:val="36"/>
        </w:numPr>
        <w:kinsoku/>
        <w:wordWrap/>
        <w:overflowPunct/>
        <w:topLinePunct w:val="0"/>
        <w:autoSpaceDE/>
        <w:autoSpaceDN/>
        <w:bidi w:val="0"/>
        <w:adjustRightInd w:val="0"/>
        <w:snapToGrid/>
        <w:spacing w:line="300" w:lineRule="exact"/>
        <w:ind w:firstLineChars="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系统管理</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通过云平台管理软件、堡垒机、终端安全软件对系统的资源和运行进行配置、控制和管理，包括：</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用户身份管理：统一管理系统用户身份，按照业务上分工的不同，合理地把相关人员划分为不同的类别或者组，以及不同的角色对模块的访问权限。权限设置可按角色划分，角色分为普通用户、系统管理员、安全管理员、审计管理员等。</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系统资源配置与监控：进行系统资源配置管理与监控，包括CPU负载、磁盘使用情况、服务器内存、数据库的空间、数据库日志空间、SWAP使用情况等，通过配置采样时间，定时检测。</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系统补丁管理：集中进行补丁管理，定期统一进行系统补丁安装。注意应首先在测试环境中测试通过，并对重要文件进行备份后，方可实施系统补丁程序的安装。</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系统管理员身份认证与审计：对系统管理员进行严格的身份鉴别，只允许其通过特定的命令或操作界面进行系统管理操作，并对这些操作进行审计。</w:t>
      </w:r>
    </w:p>
    <w:p>
      <w:pPr>
        <w:pStyle w:val="29"/>
        <w:pageBreakBefore w:val="0"/>
        <w:widowControl w:val="0"/>
        <w:numPr>
          <w:ilvl w:val="0"/>
          <w:numId w:val="36"/>
        </w:numPr>
        <w:kinsoku/>
        <w:wordWrap/>
        <w:overflowPunct/>
        <w:topLinePunct w:val="0"/>
        <w:autoSpaceDE/>
        <w:autoSpaceDN/>
        <w:bidi w:val="0"/>
        <w:adjustRightInd w:val="0"/>
        <w:snapToGrid/>
        <w:spacing w:line="300" w:lineRule="exact"/>
        <w:ind w:firstLineChars="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审计管理</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在数据中心网络各边界安全设备开启审计功能模块，根据审计策略进行数据的日志记录与审计。部署数据库审计系统，针对日益严峻的数据库安全形势，保护云平台数据库安全，防止数据被篡改或泄漏。对数据库操作行为和内容进行全面的审计和管理，对数据库操作进行解析、记录、分析，帮助客户监控数据库操作，以达到违规操作可实时发现，发生事故有源可溯，提高管理者对业务系统信息资源的全局把控和调度能力。审计范围覆盖到每个用户，从而把握数据库系统的整体安全。通过部署日志审计系统对分布在系统各个组成部分的安全审计机制进行集中管理，统一收集设备日志，审计记录设置留存时间设置为6个月，功能包括：根据安全审计策略对审计记录进行分类；提供按时间段开启和关闭相应类型的安全审计机制；对各类审计记录进行存储、管理和查询等；对安全审计员进行严格的身份鉴别，并只允许其通过特定的命令或界面进行安全审计操作。</w:t>
      </w:r>
    </w:p>
    <w:p>
      <w:pPr>
        <w:pStyle w:val="29"/>
        <w:pageBreakBefore w:val="0"/>
        <w:widowControl w:val="0"/>
        <w:numPr>
          <w:ilvl w:val="0"/>
          <w:numId w:val="36"/>
        </w:numPr>
        <w:kinsoku/>
        <w:wordWrap/>
        <w:overflowPunct/>
        <w:topLinePunct w:val="0"/>
        <w:autoSpaceDE/>
        <w:autoSpaceDN/>
        <w:bidi w:val="0"/>
        <w:adjustRightInd w:val="0"/>
        <w:snapToGrid/>
        <w:spacing w:line="300" w:lineRule="exact"/>
        <w:ind w:firstLineChars="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安全管理</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为了保障数据中心网络设备的快速、高效完成策略变更的同时，确保策略下发安全和准确，从而有效提升运维效率、降低运维成本，通过云平台管理软件集中统一管理，统一下发业务及策略配置，自动化运维管理。</w:t>
      </w:r>
    </w:p>
    <w:p>
      <w:pPr>
        <w:pStyle w:val="29"/>
        <w:pageBreakBefore w:val="0"/>
        <w:widowControl w:val="0"/>
        <w:numPr>
          <w:ilvl w:val="0"/>
          <w:numId w:val="36"/>
        </w:numPr>
        <w:kinsoku/>
        <w:wordWrap/>
        <w:overflowPunct/>
        <w:topLinePunct w:val="0"/>
        <w:autoSpaceDE/>
        <w:autoSpaceDN/>
        <w:bidi w:val="0"/>
        <w:adjustRightInd w:val="0"/>
        <w:snapToGrid/>
        <w:spacing w:line="300" w:lineRule="exact"/>
        <w:ind w:firstLineChars="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集中管理</w:t>
      </w:r>
    </w:p>
    <w:p>
      <w:pPr>
        <w:pageBreakBefore w:val="0"/>
        <w:widowControl w:val="0"/>
        <w:kinsoku/>
        <w:wordWrap/>
        <w:overflowPunct/>
        <w:topLinePunct w:val="0"/>
        <w:autoSpaceDE/>
        <w:autoSpaceDN/>
        <w:bidi w:val="0"/>
        <w:adjustRightInd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等级保护集中管控能力要求构建一个独立的安全区域，对分布在网络中的安全设备或安全组件进行管控，对安全设备需要创建一条加密通道进行远程管理。堡垒机部署安全区，独立的安全管理域不仅用于将用于安全设备管控，同时将对网络设备进行远程维护以及动态监控，使用带外管理方式，与其他网络物理隔离，通过部署运维堡垒机对网络中设备进行远程运维管理。</w:t>
      </w:r>
    </w:p>
    <w:p>
      <w:pPr>
        <w:pStyle w:val="5"/>
        <w:pageBreakBefore w:val="0"/>
        <w:widowControl w:val="0"/>
        <w:kinsoku/>
        <w:wordWrap/>
        <w:overflowPunct/>
        <w:topLinePunct w:val="0"/>
        <w:autoSpaceDE/>
        <w:autoSpaceDN/>
        <w:bidi w:val="0"/>
        <w:snapToGrid/>
        <w:spacing w:line="300" w:lineRule="exact"/>
        <w:jc w:val="left"/>
        <w:rPr>
          <w:rFonts w:hint="default" w:asciiTheme="minorAscii" w:hAnsiTheme="minorAscii" w:eastAsiaTheme="minorEastAsia" w:cstheme="minorEastAsia"/>
          <w:sz w:val="24"/>
          <w:szCs w:val="24"/>
        </w:rPr>
      </w:pPr>
      <w:bookmarkStart w:id="158" w:name="_Toc14845"/>
      <w:bookmarkStart w:id="159" w:name="_Toc825"/>
      <w:bookmarkStart w:id="160" w:name="_Toc8368"/>
      <w:bookmarkStart w:id="161" w:name="_Toc28321"/>
      <w:r>
        <w:rPr>
          <w:rFonts w:hint="default" w:asciiTheme="minorAscii" w:hAnsiTheme="minorAscii" w:eastAsiaTheme="minorEastAsia" w:cstheme="minorEastAsia"/>
          <w:sz w:val="24"/>
          <w:szCs w:val="24"/>
        </w:rPr>
        <w:t>应用系统安全建设方案</w:t>
      </w:r>
      <w:bookmarkEnd w:id="158"/>
      <w:bookmarkEnd w:id="159"/>
      <w:bookmarkEnd w:id="160"/>
      <w:bookmarkEnd w:id="161"/>
    </w:p>
    <w:p>
      <w:pPr>
        <w:pStyle w:val="7"/>
        <w:pageBreakBefore w:val="0"/>
        <w:widowControl w:val="0"/>
        <w:kinsoku/>
        <w:wordWrap/>
        <w:overflowPunct/>
        <w:topLinePunct w:val="0"/>
        <w:autoSpaceDE/>
        <w:autoSpaceDN/>
        <w:bidi w:val="0"/>
        <w:snapToGrid/>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应用和数据安全</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项目数据安全保护是以国家的相关政策依据《中国网络安全法》、《中华人民共和国数据安全法》、《中华人民共和国个人信息保护法》等标准规范和最佳实践为指导，以“数据、人、场景”为核心，结合城市治理的实际业务场景进行规划和设计，通过数据安全管理、数据安全技术和数据安全运营三个体系的服务内容，实现数据防泄漏、防篡改、防滥用。</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在数据安全管理体系建设阶段，基于数据安全风险评估、数据分类分级、组织制度建设等人工专业服务，构筑以数据为中心、多方共治、有章可循的数据安全管理体系。在数据安全技术体系建设阶段，通过安全管理中心，围绕“识别-保护-侦测”，保护云管端数据安全，实现数据全生命周期的安全覆盖。在数据安全运营体系建设阶段，通过结合技术工具和安全运营、安全评测等专业服务，建立事前强管控、事中全留痕、事后可追溯的监管运营机制，及时发现处置数据安全风险。</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项目所建设的平台涉及政务机构信息、企业信息等敏感数据，数据安全级别较高。若该信息系统受到破坏，会对社会秩序和公共利益造成严重损害，或者对国家安全造成损害。本次数据安全技术体系建设以数据资产梳理与数据流转监测为基础，通过对安全管理中心中的数据进行分级分类安全治理，结合访问控制、数据加密、数据脱敏等技术对不同用户角色、不同的数据访问行为进行管控、防护、脱敏、审计、分析，基于“可视、可管、可控”，实现数据全生命周期的数据安全。同时通过对所有数据安全产品的日志收集和分析，系统展示整体数据资产情况，敏感数据分布、流向状态，以及数据泄露中的追踪溯源问题。</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1）</w:t>
      </w:r>
      <w:r>
        <w:rPr>
          <w:rFonts w:hint="default" w:asciiTheme="minorAscii" w:hAnsiTheme="minorAscii" w:eastAsiaTheme="minorEastAsia" w:cstheme="minorEastAsia"/>
          <w:b/>
          <w:bCs/>
          <w:sz w:val="24"/>
          <w:szCs w:val="24"/>
        </w:rPr>
        <w:t>数据采集安全</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据采集阶段面临的风险主要有：（1）难以从海里数据中发现敏感数据；（2）分类分级是各项规范标准的基本要求，缺乏有效工具支撑；（3）数据来源不可信，数据可能包含病毒或恶意文件等。因此，在数据采集阶段，核心是要做好数据的分类分级梳理，从海量、流动的数据中识别发现保护对象，根据策略规则和算法定义敏感数据与非敏感数据，对结构化数据和非结构化数据进行扫描、分类、分级，建立数据资产清单，并根据结果做进一步的安全防护。同时，做好数据源的身份认证和恶意数据检测。</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2）敏感信息发现</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敏感数据发现可以从海量数据中自动发现、分析敏感数据的分布及使用情况，及时发现数据资产是否存在安全违规并进行风险预警，帮助用户防止数据泄露和满足合规要求。</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敏感数据发现系统可根据预先定义的敏感数据特征，通过内置敏感数据发现规则或者自定义规则对数据资产内容进行随机抽样敏感字段的发现和识别，实现敏感数据识别打标功能。</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敏感数据识别系统需内置敏感数据特征库，通过关键字、正则表达式、算法等构建丰富的特征项，用于定义敏感数据识别的匹配策略配置。</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敏感数据识别应以任务的形式执行，支持立即执行和定时自动执行敏感数据发现任务，任务执行结果会生成结果报告。识别结果可以以血缘图的形式查看，会以汇总形式展示敏感信息分布和最高命中规则数等信息。支持对识别结果进行敏感数据类型、敏感数据级别的标签管理，并从数据源、数据表、数据字段、文件等多个维度统计敏感数据量。</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3）访问安全</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系统所有的访问通道都有认证鉴权，所有能对系统进行管理的通信端口及协议都有接入认证机制（标准协议没有认证机制的除外）。能对系统进行管理的设备外部可见物理接口都有接入认证机制。</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管理员通过管理界面登录管理云系统，包括查看资源、发放虚拟机等，系统支持对管理用户进行访问控制，支持分权管理，便于维护团队内分职责共同有序地维护系统。</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云平台不同的应用之间，按照功能特性分别部署不同的安全区，安全区域之间通过防火墙或VPC ACL进行隔离，通讯矩阵按需开通，实现应用间网络隔离。</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云平台运维管理Portal、OpenAPI、服务内部API访问均采用HTTPS方式，传输通道采用TLS加密，特殊敏感数据在网络传输时，通过对数据内容进行加密提升安全性。</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4）敏感数据保护</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为了保护敏感数据，系统中对敏感数据做了如下的处理：口令、银行帐号等敏感数据都进行了加密保护，不允许明文存储在系统中。敏感数据的访问，必须通过接口进行认证、授权。敏感数据在非信任网络传输，使用安全传输通道或者加密后传输的机制。用户信息保护等。</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云操作系统对每个卷定义不同的访问策略，没有访问该卷权限的用户不能访问该卷，只有卷的真正使用者（或者有该卷访问权限的用户）才可以访问该卷，每个卷之间是互相隔离的。</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5）代码安全</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以代码级别安全为目标，围绕操作系统、数据库、web中间件等公共组件，从账号口令、身份认证、日志审计等维度，统一采用国产化架构，保障。</w:t>
      </w:r>
    </w:p>
    <w:p>
      <w:pPr>
        <w:pageBreakBefore w:val="0"/>
        <w:widowControl w:val="0"/>
        <w:kinsoku/>
        <w:wordWrap/>
        <w:overflowPunct/>
        <w:topLinePunct w:val="0"/>
        <w:autoSpaceDE/>
        <w:autoSpaceDN/>
        <w:bidi w:val="0"/>
        <w:snapToGrid/>
        <w:spacing w:line="300" w:lineRule="exact"/>
        <w:ind w:firstLine="482"/>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操作系统加固</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云平台底层操作系统均采用国产操作系统，为保证平台安全，必须对底层操作系统进行安全加固，主要内容包括：对系统服务，例如SSH服务进行配置加固；</w:t>
      </w:r>
      <w:r>
        <w:rPr>
          <w:rFonts w:hint="default" w:asciiTheme="minorAscii" w:hAnsiTheme="minorAscii" w:eastAsiaTheme="minorEastAsia" w:cstheme="minorEastAsia"/>
          <w:sz w:val="24"/>
          <w:szCs w:val="24"/>
        </w:rPr>
        <w:tab/>
      </w:r>
      <w:r>
        <w:rPr>
          <w:rFonts w:hint="default" w:asciiTheme="minorAscii" w:hAnsiTheme="minorAscii" w:eastAsiaTheme="minorEastAsia" w:cstheme="minorEastAsia"/>
          <w:sz w:val="24"/>
          <w:szCs w:val="24"/>
        </w:rPr>
        <w:t>对系统文件/文件目录进行合理配置加固；</w:t>
      </w:r>
      <w:r>
        <w:rPr>
          <w:rFonts w:hint="default" w:asciiTheme="minorAscii" w:hAnsiTheme="minorAscii" w:eastAsiaTheme="minorEastAsia" w:cstheme="minorEastAsia"/>
          <w:sz w:val="24"/>
          <w:szCs w:val="24"/>
        </w:rPr>
        <w:tab/>
      </w:r>
      <w:r>
        <w:rPr>
          <w:rFonts w:hint="default" w:asciiTheme="minorAscii" w:hAnsiTheme="minorAscii" w:eastAsiaTheme="minorEastAsia" w:cstheme="minorEastAsia"/>
          <w:sz w:val="24"/>
          <w:szCs w:val="24"/>
        </w:rPr>
        <w:t>对内核参数进行加固保护，例如禁用ICMP重定向等；对授权认证等进行加固，例如禁用组合键进行重要的系统调用；对账号口令进行安全设置，例如口令复杂度、有效期、登录失败次数限制等等。</w:t>
      </w:r>
    </w:p>
    <w:p>
      <w:pPr>
        <w:pageBreakBefore w:val="0"/>
        <w:widowControl w:val="0"/>
        <w:kinsoku/>
        <w:wordWrap/>
        <w:overflowPunct/>
        <w:topLinePunct w:val="0"/>
        <w:autoSpaceDE/>
        <w:autoSpaceDN/>
        <w:bidi w:val="0"/>
        <w:snapToGrid/>
        <w:spacing w:line="300" w:lineRule="exact"/>
        <w:ind w:firstLine="482"/>
        <w:jc w:val="left"/>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数据库加固</w:t>
      </w:r>
    </w:p>
    <w:p>
      <w:pPr>
        <w:pageBreakBefore w:val="0"/>
        <w:widowControl w:val="0"/>
        <w:kinsoku/>
        <w:wordWrap/>
        <w:overflowPunct/>
        <w:topLinePunct w:val="0"/>
        <w:autoSpaceDE/>
        <w:autoSpaceDN/>
        <w:bidi w:val="0"/>
        <w:snapToGrid/>
        <w:spacing w:line="300" w:lineRule="exact"/>
        <w:ind w:firstLine="480"/>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云平台及业务数据库均采用国产数据库软件，其中数据库安全配置包括账号密码安全配置、文件权限配置、远程连接配置、数据导入导出配置和安全审计相关配置等。</w:t>
      </w:r>
    </w:p>
    <w:p>
      <w:pPr>
        <w:pStyle w:val="7"/>
        <w:pageBreakBefore w:val="0"/>
        <w:widowControl w:val="0"/>
        <w:kinsoku/>
        <w:wordWrap/>
        <w:overflowPunct/>
        <w:topLinePunct w:val="0"/>
        <w:autoSpaceDE/>
        <w:autoSpaceDN/>
        <w:bidi w:val="0"/>
        <w:snapToGrid/>
        <w:spacing w:line="300" w:lineRule="exact"/>
        <w:jc w:val="lef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Web应用防火墙服务</w:t>
      </w:r>
    </w:p>
    <w:p>
      <w:pPr>
        <w:pageBreakBefore w:val="0"/>
        <w:widowControl w:val="0"/>
        <w:kinsoku/>
        <w:wordWrap/>
        <w:overflowPunct/>
        <w:topLinePunct w:val="0"/>
        <w:autoSpaceDE/>
        <w:autoSpaceDN/>
        <w:bidi w:val="0"/>
        <w:adjustRightInd w:val="0"/>
        <w:snapToGrid/>
        <w:spacing w:line="300" w:lineRule="exact"/>
        <w:ind w:firstLine="524"/>
        <w:jc w:val="left"/>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WEB应用防火墙（WAF），用于实时拦截SQL注入、XSS跨站、网站挂马、漏洞入侵等黑客攻击，保护云主机的WEB应用安全。</w:t>
      </w:r>
    </w:p>
    <w:p>
      <w:pPr>
        <w:pageBreakBefore w:val="0"/>
        <w:widowControl w:val="0"/>
        <w:kinsoku/>
        <w:wordWrap/>
        <w:overflowPunct/>
        <w:topLinePunct w:val="0"/>
        <w:autoSpaceDE/>
        <w:autoSpaceDN/>
        <w:bidi w:val="0"/>
        <w:adjustRightInd w:val="0"/>
        <w:snapToGrid/>
        <w:spacing w:line="300" w:lineRule="exact"/>
        <w:ind w:firstLine="524"/>
        <w:jc w:val="left"/>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WEB应用防火墙具有以下功能：</w:t>
      </w:r>
    </w:p>
    <w:p>
      <w:pPr>
        <w:pageBreakBefore w:val="0"/>
        <w:widowControl w:val="0"/>
        <w:numPr>
          <w:ilvl w:val="0"/>
          <w:numId w:val="37"/>
        </w:numPr>
        <w:kinsoku/>
        <w:wordWrap/>
        <w:overflowPunct/>
        <w:topLinePunct w:val="0"/>
        <w:autoSpaceDE/>
        <w:autoSpaceDN/>
        <w:bidi w:val="0"/>
        <w:adjustRightInd w:val="0"/>
        <w:snapToGrid/>
        <w:spacing w:line="300" w:lineRule="exact"/>
        <w:ind w:left="0" w:firstLine="524"/>
        <w:jc w:val="left"/>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防黑客入侵：SQL注入、XSS跨站、服务器漏洞、信息泄露、权限提升、命令执行、webshell、第三方漏洞、恶意扫描等。</w:t>
      </w:r>
    </w:p>
    <w:p>
      <w:pPr>
        <w:pageBreakBefore w:val="0"/>
        <w:widowControl w:val="0"/>
        <w:numPr>
          <w:ilvl w:val="0"/>
          <w:numId w:val="37"/>
        </w:numPr>
        <w:kinsoku/>
        <w:wordWrap/>
        <w:overflowPunct/>
        <w:topLinePunct w:val="0"/>
        <w:autoSpaceDE/>
        <w:autoSpaceDN/>
        <w:bidi w:val="0"/>
        <w:adjustRightInd w:val="0"/>
        <w:snapToGrid/>
        <w:spacing w:line="300" w:lineRule="exact"/>
        <w:ind w:left="0" w:firstLine="524"/>
        <w:jc w:val="left"/>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隐藏云主机的公网IP，替身式服务，保护云主机安全。</w:t>
      </w:r>
    </w:p>
    <w:p>
      <w:pPr>
        <w:pageBreakBefore w:val="0"/>
        <w:widowControl w:val="0"/>
        <w:numPr>
          <w:ilvl w:val="0"/>
          <w:numId w:val="37"/>
        </w:numPr>
        <w:kinsoku/>
        <w:wordWrap/>
        <w:overflowPunct/>
        <w:topLinePunct w:val="0"/>
        <w:autoSpaceDE/>
        <w:autoSpaceDN/>
        <w:bidi w:val="0"/>
        <w:adjustRightInd w:val="0"/>
        <w:snapToGrid/>
        <w:spacing w:line="300" w:lineRule="exact"/>
        <w:ind w:left="0" w:firstLine="524"/>
        <w:jc w:val="left"/>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对网站的静态资源提供缓存，请求无需回源，即可在Web应用防火墙全国安全节点获取资源，加快网站访问速度。</w:t>
      </w:r>
    </w:p>
    <w:p>
      <w:pPr>
        <w:pageBreakBefore w:val="0"/>
        <w:widowControl w:val="0"/>
        <w:numPr>
          <w:ilvl w:val="0"/>
          <w:numId w:val="38"/>
        </w:numPr>
        <w:kinsoku/>
        <w:wordWrap/>
        <w:overflowPunct/>
        <w:topLinePunct w:val="0"/>
        <w:autoSpaceDE/>
        <w:autoSpaceDN/>
        <w:bidi w:val="0"/>
        <w:adjustRightInd w:val="0"/>
        <w:snapToGrid/>
        <w:spacing w:line="300" w:lineRule="exact"/>
        <w:ind w:left="0" w:firstLine="524"/>
        <w:jc w:val="left"/>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特性列表</w:t>
      </w:r>
    </w:p>
    <w:p>
      <w:pPr>
        <w:pStyle w:val="30"/>
        <w:keepNext w:val="0"/>
        <w:numPr>
          <w:ilvl w:val="0"/>
          <w:numId w:val="0"/>
        </w:numPr>
        <w:spacing w:before="166" w:line="360" w:lineRule="auto"/>
        <w:ind w:left="420" w:leftChars="0"/>
        <w:rPr>
          <w:rFonts w:hint="default" w:asciiTheme="minorAscii" w:hAnsiTheme="minorAscii" w:eastAsiaTheme="minorEastAsia" w:cstheme="minorEastAsia"/>
          <w:b/>
          <w:bCs/>
          <w:sz w:val="18"/>
          <w:szCs w:val="18"/>
        </w:rPr>
      </w:pPr>
      <w:r>
        <w:rPr>
          <w:rFonts w:hint="default" w:asciiTheme="minorAscii" w:hAnsiTheme="minorAscii" w:eastAsiaTheme="minorEastAsia" w:cstheme="minorEastAsia"/>
          <w:b/>
          <w:bCs/>
          <w:sz w:val="18"/>
          <w:szCs w:val="18"/>
        </w:rPr>
        <w:t>特性列表</w:t>
      </w:r>
    </w:p>
    <w:tbl>
      <w:tblPr>
        <w:tblStyle w:val="18"/>
        <w:tblW w:w="4882" w:type="pct"/>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465"/>
        <w:gridCol w:w="5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15" w:type="pct"/>
            <w:tcBorders>
              <w:top w:val="single" w:color="auto" w:sz="4" w:space="0"/>
              <w:left w:val="single" w:color="auto" w:sz="4" w:space="0"/>
              <w:bottom w:val="single" w:color="auto" w:sz="4" w:space="0"/>
              <w:right w:val="single" w:color="auto" w:sz="4" w:space="0"/>
            </w:tcBorders>
            <w:vAlign w:val="center"/>
          </w:tcPr>
          <w:p>
            <w:pPr>
              <w:pStyle w:val="32"/>
              <w:jc w:val="center"/>
              <w:rPr>
                <w:rFonts w:hint="default" w:asciiTheme="minorAscii" w:hAnsiTheme="minorAscii" w:eastAsiaTheme="minorEastAsia" w:cstheme="minorEastAsia"/>
                <w:b/>
                <w:sz w:val="18"/>
                <w:szCs w:val="18"/>
                <w:lang w:val="en-US" w:eastAsia="zh-CN"/>
              </w:rPr>
            </w:pPr>
            <w:r>
              <w:rPr>
                <w:rFonts w:hint="default" w:asciiTheme="minorAscii" w:hAnsiTheme="minorAscii" w:eastAsiaTheme="minorEastAsia" w:cstheme="minorEastAsia"/>
                <w:b/>
                <w:sz w:val="18"/>
                <w:szCs w:val="18"/>
                <w:lang w:val="en-US" w:eastAsia="zh-CN"/>
              </w:rPr>
              <w:t>分项名称</w:t>
            </w:r>
          </w:p>
        </w:tc>
        <w:tc>
          <w:tcPr>
            <w:tcW w:w="828" w:type="pct"/>
            <w:tcBorders>
              <w:top w:val="single" w:color="auto" w:sz="4" w:space="0"/>
              <w:left w:val="single" w:color="auto" w:sz="4" w:space="0"/>
              <w:bottom w:val="single" w:color="auto" w:sz="4" w:space="0"/>
              <w:right w:val="single" w:color="auto" w:sz="4" w:space="0"/>
            </w:tcBorders>
            <w:vAlign w:val="center"/>
          </w:tcPr>
          <w:p>
            <w:pPr>
              <w:pStyle w:val="32"/>
              <w:jc w:val="center"/>
              <w:rPr>
                <w:rFonts w:hint="default" w:asciiTheme="minorAscii" w:hAnsiTheme="minorAscii" w:eastAsiaTheme="minorEastAsia" w:cstheme="minorEastAsia"/>
                <w:b/>
                <w:sz w:val="18"/>
                <w:szCs w:val="18"/>
              </w:rPr>
            </w:pPr>
            <w:r>
              <w:rPr>
                <w:rFonts w:hint="default" w:asciiTheme="minorAscii" w:hAnsiTheme="minorAscii" w:eastAsiaTheme="minorEastAsia" w:cstheme="minorEastAsia"/>
                <w:b/>
                <w:sz w:val="18"/>
                <w:szCs w:val="18"/>
              </w:rPr>
              <w:t>特性</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jc w:val="center"/>
              <w:rPr>
                <w:rFonts w:hint="default" w:asciiTheme="minorAscii" w:hAnsiTheme="minorAscii" w:eastAsiaTheme="minorEastAsia" w:cstheme="minorEastAsia"/>
                <w:b/>
                <w:sz w:val="18"/>
                <w:szCs w:val="18"/>
              </w:rPr>
            </w:pPr>
            <w:r>
              <w:rPr>
                <w:rFonts w:hint="default" w:asciiTheme="minorAscii" w:hAnsiTheme="minorAscii" w:eastAsiaTheme="minorEastAsia" w:cstheme="minorEastAsia"/>
                <w:b/>
                <w:sz w:val="18"/>
                <w:szCs w:val="18"/>
              </w:rPr>
              <w:t>描</w:t>
            </w:r>
            <w:r>
              <w:rPr>
                <w:rFonts w:hint="default" w:asciiTheme="minorAscii" w:hAnsiTheme="minorAscii" w:eastAsiaTheme="minorEastAsia" w:cstheme="minorEastAsia"/>
                <w:b/>
                <w:sz w:val="18"/>
                <w:szCs w:val="18"/>
                <w:lang w:val="en-US" w:eastAsia="zh-CN"/>
              </w:rPr>
              <w:t xml:space="preserve">  </w:t>
            </w:r>
            <w:r>
              <w:rPr>
                <w:rFonts w:hint="default" w:asciiTheme="minorAscii" w:hAnsiTheme="minorAscii" w:eastAsiaTheme="minorEastAsia" w:cstheme="minorEastAsia"/>
                <w:b/>
                <w:sz w:val="18"/>
                <w:szCs w:val="18"/>
              </w:rPr>
              <w:t>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15" w:type="pct"/>
            <w:vMerge w:val="restar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WAF防护设置</w:t>
            </w: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新建</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为Web应用添加WAF服务，设置公网IP、主机记录及访问域名，并设置域名DNS记录CANME到提示的服务域名，即可开通云WAF服务。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sz w:val="18"/>
                <w:szCs w:val="18"/>
              </w:rPr>
            </w:pP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启用停止</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启用或停止WAF服务。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91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sz w:val="18"/>
                <w:szCs w:val="18"/>
              </w:rPr>
            </w:pP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删除</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删除云主机的云WAF服务，选定访问域名的云主机的云WAF服务被清除，服务终止。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91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sz w:val="18"/>
                <w:szCs w:val="18"/>
              </w:rPr>
            </w:pP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威胁检测</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Web威胁检测，具有检测各类应用层攻击行为的能力，如SQL注入、XSS攻击、远程溢出攻击、漏洞扫描、Bash漏洞攻击、远程命令执行、敏感文件访问。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91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sz w:val="18"/>
                <w:szCs w:val="18"/>
              </w:rPr>
            </w:pP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网页防篡改</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检测网页防篡改、个人敏感隐私数据防泄漏、恶意注册、恶意登录、活动作弊等机器威胁。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1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sz w:val="18"/>
                <w:szCs w:val="18"/>
              </w:rPr>
            </w:pP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黑白名单</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支持基于IP（IP地址、IP地址+掩码）或者域名的黑白名单设置。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91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sz w:val="18"/>
                <w:szCs w:val="18"/>
              </w:rPr>
            </w:pP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频率限制</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支持通过ip、cookie中的用户相关键值进行IP或者域名访问频率限制，超过限制的通过验证码进行人机识别或阻断访问。可设置对超限请求封堵一段时间。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91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sz w:val="18"/>
                <w:szCs w:val="18"/>
              </w:rPr>
            </w:pP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编解码</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支持对url_escape、大小写、unicode、htmloct、htmlhex、Coct等编码的全场景多次、混合编码还原，以及base64部分场景的解码还原。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sz w:val="18"/>
                <w:szCs w:val="18"/>
              </w:rPr>
            </w:pP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白名单设置</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对于误报情况可以加白名单消除，白名单支持通过URL的全匹配或前缀匹配，对某些规则ID进行忽略设置。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pct"/>
            <w:vMerge w:val="restar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攻击报表</w:t>
            </w: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防护趋势图</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一周内每天的攻击拦截次数。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heme="minorAscii" w:hAnsiTheme="minorAscii" w:eastAsiaTheme="minorEastAsia" w:cstheme="minorEastAsia"/>
                <w:sz w:val="18"/>
                <w:szCs w:val="18"/>
              </w:rPr>
            </w:pP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攻击详情</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详细的入侵攻击信息。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915"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时效性</w:t>
            </w: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时效性</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一毫秒内检测攻击并防护生效，防护无延时。新的防护规则一分钟内全球同步。覆盖OWASP常见的10余种威胁攻击。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可靠性</w:t>
            </w:r>
          </w:p>
        </w:tc>
        <w:tc>
          <w:tcPr>
            <w:tcW w:w="828"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可靠性</w:t>
            </w:r>
          </w:p>
        </w:tc>
        <w:tc>
          <w:tcPr>
            <w:tcW w:w="3256" w:type="pct"/>
            <w:tcBorders>
              <w:top w:val="single" w:color="auto" w:sz="4" w:space="0"/>
              <w:left w:val="single" w:color="auto" w:sz="4" w:space="0"/>
              <w:bottom w:val="single" w:color="auto" w:sz="4" w:space="0"/>
              <w:right w:val="single" w:color="auto" w:sz="4" w:space="0"/>
            </w:tcBorders>
            <w:vAlign w:val="center"/>
          </w:tcPr>
          <w:p>
            <w:pPr>
              <w:pStyle w:val="32"/>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全自动检测和攻击策略匹配，实时防护。</w:t>
            </w:r>
          </w:p>
        </w:tc>
      </w:tr>
    </w:tbl>
    <w:p>
      <w:pPr>
        <w:pStyle w:val="7"/>
        <w:keepNext/>
        <w:keepLines/>
        <w:pageBreakBefore w:val="0"/>
        <w:widowControl w:val="0"/>
        <w:kinsoku/>
        <w:wordWrap/>
        <w:overflowPunct/>
        <w:topLinePunct w:val="0"/>
        <w:autoSpaceDE/>
        <w:autoSpaceDN/>
        <w:bidi w:val="0"/>
        <w:adjustRightInd/>
        <w:snapToGrid w:val="0"/>
        <w:spacing w:before="499" w:beforeLines="15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主机安全服务</w:t>
      </w:r>
    </w:p>
    <w:p>
      <w:pPr>
        <w:keepNext w:val="0"/>
        <w:keepLines w:val="0"/>
        <w:pageBreakBefore w:val="0"/>
        <w:widowControl w:val="0"/>
        <w:kinsoku/>
        <w:wordWrap/>
        <w:overflowPunct/>
        <w:topLinePunct w:val="0"/>
        <w:autoSpaceDE/>
        <w:autoSpaceDN/>
        <w:bidi w:val="0"/>
        <w:adjustRightInd w:val="0"/>
        <w:snapToGrid w:val="0"/>
        <w:ind w:firstLine="524"/>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主机安全服务是提升主机整体安全性的服务，通过资产管理、漏洞管理、入侵检测、基线检查、网页防篡改功能，可全面识别并管理主机中的信息资产，实时监测主机中的风险并阻止非法入侵行为，帮助企业构建服务器安全体系，降低当前服务器面临的主要安全风险。在主机中安装客户端后，云主机将受到HSS云端防护中心全方位的安全保障，在安全控制台可视化界面上，可以统一查看并管理同一区域内所有主机的防护状态和主机安全风险。</w:t>
      </w:r>
    </w:p>
    <w:p>
      <w:pPr>
        <w:keepNext w:val="0"/>
        <w:keepLines w:val="0"/>
        <w:pageBreakBefore w:val="0"/>
        <w:widowControl w:val="0"/>
        <w:kinsoku/>
        <w:wordWrap/>
        <w:overflowPunct/>
        <w:topLinePunct w:val="0"/>
        <w:autoSpaceDE/>
        <w:autoSpaceDN/>
        <w:bidi w:val="0"/>
        <w:adjustRightInd w:val="0"/>
        <w:snapToGrid w:val="0"/>
        <w:ind w:firstLine="524"/>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主机安全服务主要有以下功能：</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支持收集并展示账号、开放端口、进程、Web目录、软件等主机资产信息，帮助用户进行监控和管理。</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具备安全分析能力，通过对云上所有资产进行安全告警，发现潜在的入侵和高隐蔽性攻击，回溯攻击历史，预测即将发生的安全事件。</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防御OceanBase、SSH、RDP、FTP等服务的暴力破解攻击，提供主机异常登录报警，主机恶意软件和后门检测及清除，以及主机高危漏洞检测和修复建议，检测账户遭受的口令破解攻击，对识别出的攻击源IP封锁24小时，禁止其再次登录，防止主机因账户破解被入侵。</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支持定期检测云服务器面向Internet开放的端口，将端口开放情况及时通知给用户。一旦发现未经允许开放的端口及时关闭，降低系统被入侵的风险。</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检测云服务器上Web目录中的文件，判断是否为WebShell木马文件</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恶意软件检测和删除，使用三重检测算法：恶意程序库（查杀已知恶意程序）+图像指纹算法（基于AI查杀变种），对运行的进程进行检测，识别出其中的病毒、木马、后门、蠕虫和挖矿软件等，并提供一键隔离查杀能力。</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支持权限管理功能（安全组提供功能亦可），能够控制用户对服务和资源的访问权限。</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支持关键文件变更检测，对于系统关键文件（例如：ls、ps、login、top等）进行监控，一旦文件被修改就进行告警，提醒用户关键文件存在被篡改的可能</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使用第三代网页防篡改技术，内核级事件触发技术，锁定用户目录下的文件后，有效阻止非法篡改行为。</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篡改监测自动恢复技术，在主机本地和远端服务器上实时备份已授权的用户所修改的文件，保证备份资源的时效性。当企业主机安全服务检测到非法篡改行为时，将使用备份文件主动恢复被篡改的网页。</w:t>
      </w:r>
    </w:p>
    <w:p>
      <w:pPr>
        <w:keepNext w:val="0"/>
        <w:keepLines w:val="0"/>
        <w:pageBreakBefore w:val="0"/>
        <w:widowControl w:val="0"/>
        <w:numPr>
          <w:ilvl w:val="0"/>
          <w:numId w:val="39"/>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z w:val="24"/>
          <w:szCs w:val="24"/>
        </w:rPr>
      </w:pPr>
      <w:r>
        <w:rPr>
          <w:rFonts w:hint="default" w:asciiTheme="minorAscii" w:hAnsiTheme="minorAscii" w:eastAsiaTheme="minorEastAsia" w:cstheme="minorEastAsia"/>
          <w:color w:val="000000"/>
          <w:spacing w:val="0"/>
          <w:sz w:val="24"/>
          <w:szCs w:val="24"/>
          <w:lang w:bidi="ar"/>
        </w:rPr>
        <w:t>支持对常见的</w:t>
      </w:r>
      <w:r>
        <w:rPr>
          <w:rFonts w:hint="default" w:asciiTheme="minorAscii" w:hAnsiTheme="minorAscii" w:eastAsiaTheme="minorEastAsia" w:cstheme="minorEastAsia"/>
          <w:color w:val="000000"/>
          <w:spacing w:val="0"/>
          <w:sz w:val="24"/>
          <w:szCs w:val="24"/>
          <w:lang w:val="en-US" w:eastAsia="zh-CN" w:bidi="ar"/>
        </w:rPr>
        <w:t>Web</w:t>
      </w:r>
      <w:r>
        <w:rPr>
          <w:rFonts w:hint="default" w:asciiTheme="minorAscii" w:hAnsiTheme="minorAscii" w:eastAsiaTheme="minorEastAsia" w:cstheme="minorEastAsia"/>
          <w:color w:val="000000"/>
          <w:spacing w:val="0"/>
          <w:sz w:val="24"/>
          <w:szCs w:val="24"/>
          <w:lang w:bidi="ar"/>
        </w:rPr>
        <w:t>配置、Nginx配置、SSH登录配置进行检查，帮助用户识别不安全的配置项，支持的应用有SSH、RDP、Telnet。</w:t>
      </w:r>
    </w:p>
    <w:p>
      <w:pPr>
        <w:pStyle w:val="7"/>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漏洞扫描服务</w:t>
      </w:r>
    </w:p>
    <w:p>
      <w:pPr>
        <w:keepNext w:val="0"/>
        <w:keepLines w:val="0"/>
        <w:pageBreakBefore w:val="0"/>
        <w:kinsoku/>
        <w:wordWrap/>
        <w:overflowPunct/>
        <w:topLinePunct w:val="0"/>
        <w:autoSpaceDE/>
        <w:autoSpaceDN/>
        <w:bidi w:val="0"/>
        <w:adjustRightInd w:val="0"/>
        <w:snapToGrid w:val="0"/>
        <w:ind w:firstLine="524"/>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漏洞扫描服务是针对服务器或网站进行漏洞扫描的一种安全检测服务，目前提供通用漏洞检测、漏洞生命周期管理、自定义扫描多项服务。用户新建任务后，即可人工触发扫描任务，检测出网站的漏洞并给出漏洞修复建议。可以提供主机漏洞和网站漏洞的检测能力，支持linux和windows系统漏洞检测，支持OWASPTOP10和WASC的漏洞检测能力，支持扫描20种类型以上的漏洞以及Web-CMS漏洞。</w:t>
      </w:r>
    </w:p>
    <w:p>
      <w:pPr>
        <w:keepNext w:val="0"/>
        <w:keepLines w:val="0"/>
        <w:pageBreakBefore w:val="0"/>
        <w:kinsoku/>
        <w:wordWrap/>
        <w:overflowPunct/>
        <w:topLinePunct w:val="0"/>
        <w:autoSpaceDE/>
        <w:autoSpaceDN/>
        <w:bidi w:val="0"/>
        <w:adjustRightInd w:val="0"/>
        <w:snapToGrid w:val="0"/>
        <w:ind w:firstLine="524"/>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漏洞扫描主要有如下功能：</w:t>
      </w:r>
    </w:p>
    <w:p>
      <w:pPr>
        <w:keepNext w:val="0"/>
        <w:keepLines w:val="0"/>
        <w:pageBreakBefore w:val="0"/>
        <w:numPr>
          <w:ilvl w:val="0"/>
          <w:numId w:val="40"/>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提供云化多元漏洞扫描功能，支持集群扩展、支持同时对多个站点进行扫描，对企业与个人的多种资产进行专业的漏洞扫描，包括web应用、主机、中间件、弱密码等；</w:t>
      </w:r>
    </w:p>
    <w:p>
      <w:pPr>
        <w:keepNext w:val="0"/>
        <w:keepLines w:val="0"/>
        <w:pageBreakBefore w:val="0"/>
        <w:numPr>
          <w:ilvl w:val="0"/>
          <w:numId w:val="40"/>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支持Web-CMS漏洞检测与管理：通过对Web目录和文件进行检测，识别出Web-CMS漏洞，提升Web服务安全性；</w:t>
      </w:r>
    </w:p>
    <w:p>
      <w:pPr>
        <w:keepNext w:val="0"/>
        <w:keepLines w:val="0"/>
        <w:pageBreakBefore w:val="0"/>
        <w:numPr>
          <w:ilvl w:val="0"/>
          <w:numId w:val="40"/>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支持网页内容检测，对网页图文内容敏感、广告、暴恐和涉政等多种违规风险的检测。</w:t>
      </w:r>
    </w:p>
    <w:p>
      <w:pPr>
        <w:keepNext w:val="0"/>
        <w:keepLines w:val="0"/>
        <w:pageBreakBefore w:val="0"/>
        <w:numPr>
          <w:ilvl w:val="0"/>
          <w:numId w:val="40"/>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提供网站漏洞扫描能力，可扫描的漏洞类型包括Owasp、WASC等，支持Web2.0、AJAX、各种脚本语言、PHP、ASP、NET和Java环境，支持多种认证方式（Cookie、Password等），支持代理、HTTPS扫描；提供WEB漏洞修复建议，支持下载报告；</w:t>
      </w:r>
    </w:p>
    <w:p>
      <w:pPr>
        <w:keepNext w:val="0"/>
        <w:keepLines w:val="0"/>
        <w:pageBreakBefore w:val="0"/>
        <w:numPr>
          <w:ilvl w:val="0"/>
          <w:numId w:val="40"/>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支持扫描规则云端自动更新，全网生效，及时涵盖最新爆发的漏洞；</w:t>
      </w:r>
    </w:p>
    <w:p>
      <w:pPr>
        <w:keepNext w:val="0"/>
        <w:keepLines w:val="0"/>
        <w:pageBreakBefore w:val="0"/>
        <w:numPr>
          <w:ilvl w:val="0"/>
          <w:numId w:val="40"/>
        </w:numPr>
        <w:kinsoku/>
        <w:wordWrap/>
        <w:overflowPunct/>
        <w:topLinePunct w:val="0"/>
        <w:autoSpaceDE/>
        <w:autoSpaceDN/>
        <w:bidi w:val="0"/>
        <w:adjustRightInd w:val="0"/>
        <w:snapToGrid w:val="0"/>
        <w:ind w:left="0" w:firstLine="524"/>
        <w:jc w:val="left"/>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支持网站健康检查，检测网站死链、恶意外链、挂马暗链，提升网站整体安全性能；</w:t>
      </w:r>
    </w:p>
    <w:p>
      <w:pPr>
        <w:keepNext w:val="0"/>
        <w:keepLines w:val="0"/>
        <w:pageBreakBefore w:val="0"/>
        <w:widowControl/>
        <w:kinsoku/>
        <w:wordWrap/>
        <w:overflowPunct/>
        <w:topLinePunct w:val="0"/>
        <w:autoSpaceDE/>
        <w:autoSpaceDN/>
        <w:bidi w:val="0"/>
        <w:snapToGrid w:val="0"/>
        <w:ind w:firstLine="524"/>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color w:val="000000"/>
          <w:spacing w:val="0"/>
          <w:sz w:val="24"/>
          <w:szCs w:val="24"/>
          <w:lang w:bidi="ar"/>
        </w:rPr>
        <w:t>支持网站目录结构发现能力，扫描之后可呈现出网站目录结构。</w:t>
      </w:r>
    </w:p>
    <w:p>
      <w:pPr>
        <w:pStyle w:val="7"/>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云堡垒机服务</w:t>
      </w:r>
    </w:p>
    <w:p>
      <w:pPr>
        <w:keepNext w:val="0"/>
        <w:keepLines w:val="0"/>
        <w:pageBreakBefore w:val="0"/>
        <w:widowControl w:val="0"/>
        <w:kinsoku/>
        <w:wordWrap/>
        <w:overflowPunct/>
        <w:topLinePunct w:val="0"/>
        <w:autoSpaceDE/>
        <w:autoSpaceDN/>
        <w:bidi w:val="0"/>
        <w:adjustRightInd w:val="0"/>
        <w:snapToGrid w:val="0"/>
        <w:ind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云堡垒机是用于提供云计算安全管控的系统和组件，可以实现对运维资源的4A安全管控。云堡垒机包含用户管理、资源管理、策略、审计和工单等功能模块，支持对Windows或Linux等操作系统的主机提供安全管控保护。云堡垒机是集统一资产管理与单点登录、多种终端访问协议、文件传输功能于一体的运维安全管理与审计产品。通过提供统一的界面管理用户账户，对用户、角色及行为和资源进行授权，以达到对权限的细粒度控制。通过集中访问授权和访问控制可以对用户通过B/S、C/S对服务器主机、网络设备的访问进行审计和阻断。</w:t>
      </w:r>
    </w:p>
    <w:p>
      <w:pPr>
        <w:keepNext w:val="0"/>
        <w:keepLines w:val="0"/>
        <w:pageBreakBefore w:val="0"/>
        <w:widowControl w:val="0"/>
        <w:kinsoku/>
        <w:wordWrap/>
        <w:overflowPunct/>
        <w:topLinePunct w:val="0"/>
        <w:autoSpaceDE/>
        <w:autoSpaceDN/>
        <w:bidi w:val="0"/>
        <w:adjustRightInd w:val="0"/>
        <w:snapToGrid w:val="0"/>
        <w:ind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云堡垒机具有以下功能：</w:t>
      </w:r>
    </w:p>
    <w:p>
      <w:pPr>
        <w:keepNext w:val="0"/>
        <w:keepLines w:val="0"/>
        <w:pageBreakBefore w:val="0"/>
        <w:widowControl w:val="0"/>
        <w:numPr>
          <w:ilvl w:val="0"/>
          <w:numId w:val="41"/>
        </w:numPr>
        <w:kinsoku/>
        <w:wordWrap/>
        <w:overflowPunct/>
        <w:topLinePunct w:val="0"/>
        <w:autoSpaceDE/>
        <w:autoSpaceDN/>
        <w:bidi w:val="0"/>
        <w:adjustRightInd w:val="0"/>
        <w:snapToGrid w:val="0"/>
        <w:ind w:left="0"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采用集中账号管理方式。完成对账号整个生命周期的监控和管理，提供统一的认证接口，提供静态密码、一次性口令等多种认证方式。</w:t>
      </w:r>
    </w:p>
    <w:p>
      <w:pPr>
        <w:keepNext w:val="0"/>
        <w:keepLines w:val="0"/>
        <w:pageBreakBefore w:val="0"/>
        <w:widowControl w:val="0"/>
        <w:numPr>
          <w:ilvl w:val="0"/>
          <w:numId w:val="41"/>
        </w:numPr>
        <w:kinsoku/>
        <w:wordWrap/>
        <w:overflowPunct/>
        <w:topLinePunct w:val="0"/>
        <w:autoSpaceDE/>
        <w:autoSpaceDN/>
        <w:bidi w:val="0"/>
        <w:adjustRightInd w:val="0"/>
        <w:snapToGrid w:val="0"/>
        <w:ind w:left="0"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支持单点登录的机制是将同一个用户的登录映射到其他应用中。这样，在多个应用系统中，用户只需要登录一次就可以访问基于B/S和C/S的互信任应用系统，无需再次认证。</w:t>
      </w:r>
    </w:p>
    <w:p>
      <w:pPr>
        <w:keepNext w:val="0"/>
        <w:keepLines w:val="0"/>
        <w:pageBreakBefore w:val="0"/>
        <w:widowControl w:val="0"/>
        <w:numPr>
          <w:ilvl w:val="0"/>
          <w:numId w:val="41"/>
        </w:numPr>
        <w:kinsoku/>
        <w:wordWrap/>
        <w:overflowPunct/>
        <w:topLinePunct w:val="0"/>
        <w:autoSpaceDE/>
        <w:autoSpaceDN/>
        <w:bidi w:val="0"/>
        <w:adjustRightInd w:val="0"/>
        <w:snapToGrid w:val="0"/>
        <w:ind w:left="0"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资源授权功能，提供统一的界面，对用户、角色及行为和资源进行授权，以达到对权限的细粒度控制，最大限度保护用户资源的安全。通过集中访问授权和访问控制可以对用户通过B/S、C/S对服务器主机、网络设备的访问进行审计和阻断。</w:t>
      </w:r>
    </w:p>
    <w:p>
      <w:pPr>
        <w:keepNext w:val="0"/>
        <w:keepLines w:val="0"/>
        <w:pageBreakBefore w:val="0"/>
        <w:widowControl w:val="0"/>
        <w:numPr>
          <w:ilvl w:val="0"/>
          <w:numId w:val="41"/>
        </w:numPr>
        <w:kinsoku/>
        <w:wordWrap/>
        <w:overflowPunct/>
        <w:topLinePunct w:val="0"/>
        <w:autoSpaceDE/>
        <w:autoSpaceDN/>
        <w:bidi w:val="0"/>
        <w:adjustRightInd w:val="0"/>
        <w:snapToGrid w:val="0"/>
        <w:ind w:left="0"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支持操作审计功能，审计操作人员的账号使用（登录、资源访问）情况、资源使用情况等。</w:t>
      </w:r>
    </w:p>
    <w:p>
      <w:pPr>
        <w:keepNext w:val="0"/>
        <w:keepLines w:val="0"/>
        <w:pageBreakBefore w:val="0"/>
        <w:widowControl w:val="0"/>
        <w:numPr>
          <w:ilvl w:val="0"/>
          <w:numId w:val="41"/>
        </w:numPr>
        <w:kinsoku/>
        <w:wordWrap/>
        <w:overflowPunct/>
        <w:topLinePunct w:val="0"/>
        <w:autoSpaceDE/>
        <w:autoSpaceDN/>
        <w:bidi w:val="0"/>
        <w:adjustRightInd w:val="0"/>
        <w:snapToGrid w:val="0"/>
        <w:ind w:left="0"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支持实时会话、录像回放、指令查询等审计方式。</w:t>
      </w:r>
    </w:p>
    <w:p>
      <w:pPr>
        <w:keepNext w:val="0"/>
        <w:keepLines w:val="0"/>
        <w:pageBreakBefore w:val="0"/>
        <w:widowControl w:val="0"/>
        <w:numPr>
          <w:ilvl w:val="0"/>
          <w:numId w:val="41"/>
        </w:numPr>
        <w:kinsoku/>
        <w:wordWrap/>
        <w:overflowPunct/>
        <w:topLinePunct w:val="0"/>
        <w:autoSpaceDE/>
        <w:autoSpaceDN/>
        <w:bidi w:val="0"/>
        <w:adjustRightInd w:val="0"/>
        <w:snapToGrid w:val="0"/>
        <w:ind w:left="0" w:firstLine="524"/>
        <w:jc w:val="both"/>
        <w:textAlignment w:val="auto"/>
        <w:rPr>
          <w:rFonts w:hint="default" w:asciiTheme="minorAscii" w:hAnsiTheme="minorAscii" w:eastAsiaTheme="minorEastAsia" w:cstheme="minorEastAsia"/>
          <w:color w:val="000000"/>
          <w:sz w:val="24"/>
          <w:szCs w:val="24"/>
        </w:rPr>
      </w:pPr>
      <w:r>
        <w:rPr>
          <w:rFonts w:hint="default" w:asciiTheme="minorAscii" w:hAnsiTheme="minorAscii" w:eastAsiaTheme="minorEastAsia" w:cstheme="minorEastAsia"/>
          <w:color w:val="000000"/>
          <w:spacing w:val="0"/>
          <w:sz w:val="24"/>
          <w:szCs w:val="24"/>
          <w:lang w:bidi="ar"/>
        </w:rPr>
        <w:t>满足《等级保护》系列文件中的技术审计要求，满足金融监管部门的技术审计要求。满足各类法令法规（如SOX、PCI、企业内控管理、等级保护、ISO/IEC27001等）对运维审计的要求。能够细粒度地划分不同角色的权限，达到控制管理员对服务器的访问，并且提供大数据智能审计功能，对所有运维操作能达到很好的审计、监控、控制和历史回放效果。</w:t>
      </w:r>
    </w:p>
    <w:p>
      <w:pPr>
        <w:pStyle w:val="7"/>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数据库安全服务</w:t>
      </w:r>
    </w:p>
    <w:p>
      <w:pPr>
        <w:keepNext w:val="0"/>
        <w:keepLines w:val="0"/>
        <w:pageBreakBefore w:val="0"/>
        <w:kinsoku/>
        <w:wordWrap/>
        <w:overflowPunct/>
        <w:topLinePunct w:val="0"/>
        <w:autoSpaceDE/>
        <w:autoSpaceDN/>
        <w:bidi w:val="0"/>
        <w:adjustRightInd w:val="0"/>
        <w:snapToGrid w:val="0"/>
        <w:ind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数据库安全服务为用户的基于ECS/BMS自建数据库、RDS数据库，提供用户行为发现审计、多维度分析、实时告警和报表等功能，保障云上数据库的安全，满足用户合规要求。主要功能如下：</w:t>
      </w:r>
    </w:p>
    <w:p>
      <w:pPr>
        <w:keepNext w:val="0"/>
        <w:keepLines w:val="0"/>
        <w:pageBreakBefore w:val="0"/>
        <w:numPr>
          <w:ilvl w:val="0"/>
          <w:numId w:val="42"/>
        </w:numPr>
        <w:kinsoku/>
        <w:wordWrap/>
        <w:overflowPunct/>
        <w:topLinePunct w:val="0"/>
        <w:autoSpaceDE/>
        <w:autoSpaceDN/>
        <w:bidi w:val="0"/>
        <w:adjustRightInd w:val="0"/>
        <w:snapToGrid w:val="0"/>
        <w:ind w:left="0"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数据库审计：支持旁路部署，灵活接入，不影响业务大数据支持，支持DWS等数据仓库类型，三层关联识别，实现应用端用户身份行为识别，完善审计链条提供三权分立功能将系统管理员，安全管理员，审计管理员权限隔离。</w:t>
      </w:r>
    </w:p>
    <w:p>
      <w:pPr>
        <w:keepNext w:val="0"/>
        <w:keepLines w:val="0"/>
        <w:pageBreakBefore w:val="0"/>
        <w:numPr>
          <w:ilvl w:val="0"/>
          <w:numId w:val="42"/>
        </w:numPr>
        <w:kinsoku/>
        <w:wordWrap/>
        <w:overflowPunct/>
        <w:topLinePunct w:val="0"/>
        <w:autoSpaceDE/>
        <w:autoSpaceDN/>
        <w:bidi w:val="0"/>
        <w:adjustRightInd w:val="0"/>
        <w:snapToGrid w:val="0"/>
        <w:ind w:left="0"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多维度分析实现会话，风险，语句，IP，操作类型，返回状态，结果信息等多种维度展示异常行为实时告警，针对风险语句或SQL注入攻击实时告警。</w:t>
      </w:r>
    </w:p>
    <w:p>
      <w:pPr>
        <w:keepNext w:val="0"/>
        <w:keepLines w:val="0"/>
        <w:pageBreakBefore w:val="0"/>
        <w:widowControl/>
        <w:kinsoku/>
        <w:wordWrap/>
        <w:overflowPunct/>
        <w:topLinePunct w:val="0"/>
        <w:autoSpaceDE/>
        <w:autoSpaceDN/>
        <w:bidi w:val="0"/>
        <w:snapToGrid w:val="0"/>
        <w:ind w:firstLine="524"/>
        <w:jc w:val="both"/>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color w:val="000000"/>
          <w:spacing w:val="0"/>
          <w:sz w:val="24"/>
          <w:szCs w:val="24"/>
          <w:lang w:bidi="ar"/>
        </w:rPr>
        <w:t>提供精细化报表满足等保，SOX等综合性报表和自定义分析型报表，满足等保测评数据库审计需求。</w:t>
      </w:r>
    </w:p>
    <w:p>
      <w:pPr>
        <w:pStyle w:val="7"/>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日志审计服务</w:t>
      </w:r>
    </w:p>
    <w:p>
      <w:pPr>
        <w:keepNext w:val="0"/>
        <w:keepLines w:val="0"/>
        <w:pageBreakBefore w:val="0"/>
        <w:kinsoku/>
        <w:wordWrap/>
        <w:overflowPunct/>
        <w:topLinePunct w:val="0"/>
        <w:autoSpaceDE/>
        <w:autoSpaceDN/>
        <w:bidi w:val="0"/>
        <w:adjustRightInd w:val="0"/>
        <w:snapToGrid w:val="0"/>
        <w:ind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bidi="ar"/>
        </w:rPr>
        <w:t>日志审计服务是对日志进行统一收集、解析、分析、集中存储、监控及可视化的综合性日志管理平台，对云上租户安全服务、主机和应用系统日志进行全面的标准化处理，通过基于国际标准化的关联分析引擎，为客户提供全维度、跨设备、细粒度的关联分析，及时发现各种安全威胁、异常行为事件，为管理人员提供全局的视角，透过事件的表象真实地还原事件背后的信息，为客户提供真正可信赖的事件追责依据和业务运行的深度安全，进而确保客户业务的不间断运营安全；同时提供集中化的统一管理平台，将所有的日志信息收集到平台中，实现信息资产的统一管理、监控资产的运行情况，协助用户全面审计信息系统整体安全状况。</w:t>
      </w:r>
    </w:p>
    <w:p>
      <w:pPr>
        <w:keepNext w:val="0"/>
        <w:keepLines w:val="0"/>
        <w:pageBreakBefore w:val="0"/>
        <w:kinsoku/>
        <w:wordWrap/>
        <w:overflowPunct/>
        <w:topLinePunct w:val="0"/>
        <w:autoSpaceDE/>
        <w:autoSpaceDN/>
        <w:bidi w:val="0"/>
        <w:adjustRightInd w:val="0"/>
        <w:snapToGrid w:val="0"/>
        <w:ind w:firstLine="524"/>
        <w:jc w:val="both"/>
        <w:textAlignment w:val="auto"/>
        <w:rPr>
          <w:rFonts w:hint="default" w:asciiTheme="minorAscii" w:hAnsiTheme="minorAscii" w:eastAsiaTheme="minorEastAsia" w:cstheme="minorEastAsia"/>
          <w:color w:val="000000"/>
          <w:spacing w:val="0"/>
          <w:sz w:val="24"/>
          <w:szCs w:val="24"/>
          <w:lang w:eastAsia="zh-CN"/>
        </w:rPr>
      </w:pPr>
      <w:r>
        <w:rPr>
          <w:rFonts w:hint="default" w:asciiTheme="minorAscii" w:hAnsiTheme="minorAscii" w:eastAsiaTheme="minorEastAsia" w:cstheme="minorEastAsia"/>
          <w:color w:val="000000"/>
          <w:spacing w:val="0"/>
          <w:sz w:val="24"/>
          <w:szCs w:val="24"/>
          <w:lang w:bidi="ar"/>
        </w:rPr>
        <w:t>主要功能如下</w:t>
      </w:r>
      <w:r>
        <w:rPr>
          <w:rFonts w:hint="default" w:asciiTheme="minorAscii" w:hAnsiTheme="minorAscii" w:eastAsiaTheme="minorEastAsia" w:cstheme="minorEastAsia"/>
          <w:color w:val="000000"/>
          <w:spacing w:val="0"/>
          <w:sz w:val="24"/>
          <w:szCs w:val="24"/>
          <w:lang w:eastAsia="zh-CN" w:bidi="ar"/>
        </w:rPr>
        <w:t>：</w:t>
      </w:r>
    </w:p>
    <w:p>
      <w:pPr>
        <w:keepNext w:val="0"/>
        <w:keepLines w:val="0"/>
        <w:pageBreakBefore w:val="0"/>
        <w:widowControl w:val="0"/>
        <w:kinsoku/>
        <w:wordWrap/>
        <w:overflowPunct/>
        <w:topLinePunct w:val="0"/>
        <w:autoSpaceDE/>
        <w:autoSpaceDN/>
        <w:bidi w:val="0"/>
        <w:adjustRightInd w:val="0"/>
        <w:snapToGrid w:val="0"/>
        <w:ind w:firstLine="524"/>
        <w:jc w:val="both"/>
        <w:textAlignment w:val="auto"/>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b/>
          <w:bCs/>
          <w:color w:val="000000"/>
          <w:spacing w:val="0"/>
          <w:sz w:val="24"/>
          <w:szCs w:val="24"/>
          <w:lang w:bidi="ar"/>
        </w:rPr>
        <w:t>安全分析：</w:t>
      </w:r>
      <w:r>
        <w:rPr>
          <w:rFonts w:hint="default" w:asciiTheme="minorAscii" w:hAnsiTheme="minorAscii" w:eastAsiaTheme="minorEastAsia" w:cstheme="minorEastAsia"/>
          <w:color w:val="000000"/>
          <w:spacing w:val="0"/>
          <w:sz w:val="24"/>
          <w:szCs w:val="24"/>
          <w:lang w:bidi="ar"/>
        </w:rPr>
        <w:t>日志审计可以实现全维度、跨设备、细粒度关联分析，内置众多的关联规则，支持网络安全攻防检测、合规性检测，用户可轻松实现各资产之间的关联分析。为用户解决无法配备专业的安全管理人员，面对专业性极强的海量安全数据及警报，普通管理人员根本无从下手的问题。同时系统还能够收集和管理来自各种Web漏洞扫描、主机漏洞扫描工具、网络漏洞扫描工具产生的扫描结果，并实时和用户资产收到的攻击日志进行风险三维关联分析。</w:t>
      </w:r>
    </w:p>
    <w:p>
      <w:pPr>
        <w:keepNext w:val="0"/>
        <w:keepLines w:val="0"/>
        <w:pageBreakBefore w:val="0"/>
        <w:widowControl w:val="0"/>
        <w:kinsoku/>
        <w:wordWrap/>
        <w:overflowPunct/>
        <w:topLinePunct w:val="0"/>
        <w:autoSpaceDE/>
        <w:autoSpaceDN/>
        <w:bidi w:val="0"/>
        <w:snapToGrid w:val="0"/>
        <w:ind w:firstLine="524"/>
        <w:jc w:val="both"/>
        <w:textAlignment w:val="auto"/>
        <w:rPr>
          <w:rFonts w:hint="default" w:asciiTheme="minorAscii" w:hAnsiTheme="minorAscii" w:eastAsiaTheme="minorEastAsia" w:cstheme="minorEastAsia"/>
          <w:color w:val="000000"/>
          <w:spacing w:val="10"/>
          <w:sz w:val="24"/>
          <w:szCs w:val="24"/>
        </w:rPr>
      </w:pPr>
      <w:r>
        <w:rPr>
          <w:rFonts w:hint="default" w:asciiTheme="minorAscii" w:hAnsiTheme="minorAscii" w:eastAsiaTheme="minorEastAsia" w:cstheme="minorEastAsia"/>
          <w:b/>
          <w:bCs/>
          <w:color w:val="000000"/>
          <w:spacing w:val="0"/>
          <w:sz w:val="24"/>
          <w:szCs w:val="24"/>
          <w:lang w:bidi="ar"/>
        </w:rPr>
        <w:t>监管合规：</w:t>
      </w:r>
      <w:r>
        <w:rPr>
          <w:rFonts w:hint="default" w:asciiTheme="minorAscii" w:hAnsiTheme="minorAscii" w:eastAsiaTheme="minorEastAsia" w:cstheme="minorEastAsia"/>
          <w:color w:val="000000"/>
          <w:spacing w:val="0"/>
          <w:sz w:val="24"/>
          <w:szCs w:val="24"/>
          <w:lang w:bidi="ar"/>
        </w:rPr>
        <w:t>日志审计内置多种行业解决方案包，提供丰富的攻击威胁、Windows审计、Linux审计、PCI、SOX、ISO27001等合规性报表1000+，帮助用户轻松生成完整的分析报告，满足监管合规要求。</w:t>
      </w:r>
    </w:p>
    <w:p>
      <w:pPr>
        <w:pStyle w:val="8"/>
        <w:spacing w:before="166" w:after="166"/>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网络</w:t>
      </w:r>
      <w:r>
        <w:rPr>
          <w:rFonts w:hint="default" w:asciiTheme="minorAscii" w:hAnsiTheme="minorAscii" w:eastAsiaTheme="minorEastAsia" w:cstheme="minorEastAsia"/>
          <w:sz w:val="24"/>
          <w:szCs w:val="24"/>
        </w:rPr>
        <w:t>安全</w:t>
      </w:r>
      <w:bookmarkEnd w:id="151"/>
      <w:r>
        <w:rPr>
          <w:rFonts w:hint="default" w:asciiTheme="minorAscii" w:hAnsiTheme="minorAscii" w:eastAsiaTheme="minorEastAsia" w:cstheme="minorEastAsia"/>
          <w:sz w:val="24"/>
          <w:szCs w:val="24"/>
          <w:lang w:val="en-US" w:eastAsia="zh-CN"/>
        </w:rPr>
        <w:t>等保三级建设</w:t>
      </w:r>
      <w:bookmarkEnd w:id="152"/>
      <w:r>
        <w:rPr>
          <w:rFonts w:hint="default" w:asciiTheme="minorAscii" w:hAnsiTheme="minorAscii" w:eastAsiaTheme="minorEastAsia" w:cstheme="minorEastAsia"/>
          <w:sz w:val="24"/>
          <w:szCs w:val="24"/>
          <w:lang w:val="en-US" w:eastAsia="zh-CN"/>
        </w:rPr>
        <w:t>配置清单</w:t>
      </w:r>
    </w:p>
    <w:p>
      <w:pPr>
        <w:tabs>
          <w:tab w:val="left" w:pos="0"/>
        </w:tabs>
        <w:ind w:firstLine="520"/>
        <w:rPr>
          <w:rFonts w:hint="default" w:asciiTheme="minorAscii" w:hAnsiTheme="minorAscii" w:eastAsiaTheme="minorEastAsia" w:cstheme="minorEastAsia"/>
          <w:color w:val="000000"/>
          <w:spacing w:val="0"/>
          <w:sz w:val="24"/>
          <w:szCs w:val="24"/>
        </w:rPr>
      </w:pPr>
      <w:r>
        <w:rPr>
          <w:rFonts w:hint="default" w:asciiTheme="minorAscii" w:hAnsiTheme="minorAscii" w:eastAsiaTheme="minorEastAsia" w:cstheme="minorEastAsia"/>
          <w:color w:val="000000"/>
          <w:spacing w:val="0"/>
          <w:sz w:val="24"/>
          <w:szCs w:val="24"/>
          <w:lang w:val="en-US" w:eastAsia="zh-CN"/>
        </w:rPr>
        <w:t>本项目基于广元市电子</w:t>
      </w:r>
      <w:r>
        <w:rPr>
          <w:rFonts w:hint="default" w:asciiTheme="minorAscii" w:hAnsiTheme="minorAscii" w:eastAsiaTheme="minorEastAsia" w:cstheme="minorEastAsia"/>
          <w:color w:val="000000"/>
          <w:spacing w:val="0"/>
          <w:sz w:val="24"/>
          <w:szCs w:val="24"/>
        </w:rPr>
        <w:t>政务云</w:t>
      </w:r>
      <w:r>
        <w:rPr>
          <w:rFonts w:hint="default" w:asciiTheme="minorAscii" w:hAnsiTheme="minorAscii" w:eastAsiaTheme="minorEastAsia" w:cstheme="minorEastAsia"/>
          <w:color w:val="000000"/>
          <w:spacing w:val="0"/>
          <w:sz w:val="24"/>
          <w:szCs w:val="24"/>
          <w:lang w:val="en-US" w:eastAsia="zh-CN"/>
        </w:rPr>
        <w:t>资源部署和应用的“风险源监测与环境应急平台”开展网络安全等保三级建设的配置清单</w:t>
      </w:r>
      <w:r>
        <w:rPr>
          <w:rFonts w:hint="default" w:asciiTheme="minorAscii" w:hAnsiTheme="minorAscii" w:eastAsiaTheme="minorEastAsia" w:cstheme="minorEastAsia"/>
          <w:color w:val="000000"/>
          <w:spacing w:val="0"/>
          <w:sz w:val="24"/>
          <w:szCs w:val="24"/>
        </w:rPr>
        <w:t>如下：</w:t>
      </w:r>
    </w:p>
    <w:tbl>
      <w:tblPr>
        <w:tblStyle w:val="19"/>
        <w:tblW w:w="8966"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378"/>
        <w:gridCol w:w="792"/>
        <w:gridCol w:w="666"/>
        <w:gridCol w:w="3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blHeader/>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序号</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设备设施名称</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数量</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单位</w:t>
            </w:r>
          </w:p>
        </w:tc>
        <w:tc>
          <w:tcPr>
            <w:tcW w:w="3411"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云安全统一管理平台</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套</w:t>
            </w:r>
          </w:p>
        </w:tc>
        <w:tc>
          <w:tcPr>
            <w:tcW w:w="34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部署于广元市政务云服务器。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2</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云防火墙</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套</w:t>
            </w:r>
          </w:p>
        </w:tc>
        <w:tc>
          <w:tcPr>
            <w:tcW w:w="34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3</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云WEB应用防火墙</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套</w:t>
            </w:r>
          </w:p>
        </w:tc>
        <w:tc>
          <w:tcPr>
            <w:tcW w:w="34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4</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云主机安全</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套</w:t>
            </w:r>
          </w:p>
        </w:tc>
        <w:tc>
          <w:tcPr>
            <w:tcW w:w="34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5</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云日志审计</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套</w:t>
            </w:r>
          </w:p>
        </w:tc>
        <w:tc>
          <w:tcPr>
            <w:tcW w:w="34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6</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云数据库审计</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套</w:t>
            </w:r>
          </w:p>
        </w:tc>
        <w:tc>
          <w:tcPr>
            <w:tcW w:w="34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7</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云堡垒机</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套</w:t>
            </w:r>
          </w:p>
        </w:tc>
        <w:tc>
          <w:tcPr>
            <w:tcW w:w="3411"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8966" w:type="dxa"/>
            <w:gridSpan w:val="5"/>
            <w:vAlign w:val="center"/>
          </w:tcPr>
          <w:p>
            <w:pPr>
              <w:keepNext w:val="0"/>
              <w:keepLines w:val="0"/>
              <w:pageBreakBefore w:val="0"/>
              <w:widowControl w:val="0"/>
              <w:kinsoku/>
              <w:wordWrap/>
              <w:overflowPunct/>
              <w:topLinePunct w:val="0"/>
              <w:autoSpaceDE/>
              <w:autoSpaceDN/>
              <w:bidi w:val="0"/>
              <w:adjustRightInd w:val="0"/>
              <w:snapToGrid/>
              <w:spacing w:line="300" w:lineRule="exact"/>
              <w:ind w:left="53" w:leftChars="25" w:right="53" w:rightChars="25" w:firstLine="481" w:firstLineChars="200"/>
              <w:jc w:val="both"/>
              <w:textAlignment w:val="auto"/>
              <w:rPr>
                <w:rFonts w:hint="default" w:asciiTheme="minorAscii" w:hAnsiTheme="minorAscii" w:eastAsiaTheme="minorEastAsia" w:cstheme="minorEastAsia"/>
                <w:sz w:val="24"/>
                <w:szCs w:val="24"/>
                <w:vertAlign w:val="baseline"/>
                <w:lang w:val="en-US" w:eastAsia="zh-CN"/>
              </w:rPr>
            </w:pPr>
            <w:bookmarkStart w:id="162" w:name="_Toc18453"/>
            <w:r>
              <w:rPr>
                <w:rFonts w:hint="default" w:asciiTheme="minorAscii" w:hAnsiTheme="minorAscii" w:eastAsiaTheme="minorEastAsia" w:cstheme="minorEastAsia"/>
                <w:b/>
                <w:bCs/>
                <w:sz w:val="24"/>
                <w:szCs w:val="24"/>
                <w:vertAlign w:val="baseline"/>
                <w:lang w:val="en-US" w:eastAsia="zh-CN"/>
              </w:rPr>
              <w:t>说明：</w:t>
            </w:r>
            <w:r>
              <w:rPr>
                <w:rFonts w:hint="default" w:asciiTheme="minorAscii" w:hAnsiTheme="minorAscii" w:eastAsiaTheme="minorEastAsia" w:cstheme="minorEastAsia"/>
                <w:sz w:val="24"/>
                <w:szCs w:val="24"/>
                <w:vertAlign w:val="baseline"/>
                <w:lang w:val="en-US" w:eastAsia="zh-CN"/>
              </w:rPr>
              <w:t>本项目所采购的网络安全设施设备需满足《关于调整网络安全专用产品安全管理有关事项的公告》（2023年第1号）、《关于调整〈网络关键设备和网络安全专用产品目录〉的公告》（2023年第2号），确保在安全认证和安全检测结果检索目录中。</w:t>
            </w:r>
          </w:p>
        </w:tc>
      </w:tr>
      <w:bookmarkEnd w:id="148"/>
      <w:bookmarkEnd w:id="149"/>
      <w:bookmarkEnd w:id="150"/>
    </w:tbl>
    <w:p>
      <w:pPr>
        <w:pStyle w:val="5"/>
        <w:keepNext/>
        <w:keepLines/>
        <w:pageBreakBefore w:val="0"/>
        <w:widowControl w:val="0"/>
        <w:kinsoku/>
        <w:wordWrap/>
        <w:overflowPunct/>
        <w:topLinePunct w:val="0"/>
        <w:autoSpaceDE/>
        <w:autoSpaceDN/>
        <w:bidi w:val="0"/>
        <w:adjustRightInd/>
        <w:snapToGrid w:val="0"/>
        <w:spacing w:before="499" w:beforeLines="15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商用</w:t>
      </w:r>
      <w:r>
        <w:rPr>
          <w:rFonts w:hint="default" w:asciiTheme="minorAscii" w:hAnsiTheme="minorAscii" w:eastAsiaTheme="minorEastAsia" w:cstheme="minorEastAsia"/>
          <w:sz w:val="24"/>
          <w:szCs w:val="24"/>
        </w:rPr>
        <w:t>密码应用</w:t>
      </w:r>
      <w:r>
        <w:rPr>
          <w:rFonts w:hint="default" w:asciiTheme="minorAscii" w:hAnsiTheme="minorAscii" w:eastAsiaTheme="minorEastAsia" w:cstheme="minorEastAsia"/>
          <w:sz w:val="24"/>
          <w:szCs w:val="24"/>
          <w:lang w:val="en-US" w:eastAsia="zh-CN"/>
        </w:rPr>
        <w:t>安全建设</w:t>
      </w:r>
      <w:r>
        <w:rPr>
          <w:rFonts w:hint="default" w:asciiTheme="minorAscii" w:hAnsiTheme="minorAscii" w:eastAsiaTheme="minorEastAsia" w:cstheme="minorEastAsia"/>
          <w:sz w:val="24"/>
          <w:szCs w:val="24"/>
        </w:rPr>
        <w:t>方案设计</w:t>
      </w:r>
      <w:bookmarkEnd w:id="162"/>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wave"/>
          <w:lang w:val="en-US" w:eastAsia="zh-CN"/>
        </w:rPr>
      </w:pPr>
      <w:r>
        <w:rPr>
          <w:rFonts w:hint="default" w:asciiTheme="minorAscii" w:hAnsiTheme="minorAscii" w:eastAsiaTheme="minorEastAsia" w:cstheme="minorEastAsia"/>
          <w:sz w:val="24"/>
          <w:szCs w:val="24"/>
          <w:u w:val="wave"/>
          <w:lang w:val="en-US" w:eastAsia="zh-CN"/>
        </w:rPr>
        <w:t>本项目采用申请（配备/租赁)广元市政务云资源的方式部署。根据主管部门的答复，仅提供IaaS，商用密码应用安全应纳入设计方案一并建设</w:t>
      </w:r>
      <w:r>
        <w:rPr>
          <w:rFonts w:hint="default" w:asciiTheme="minorAscii" w:hAnsiTheme="minorAscii" w:eastAsiaTheme="minorEastAsia" w:cstheme="minorEastAsia"/>
          <w:sz w:val="24"/>
          <w:szCs w:val="24"/>
          <w:u w:val="none"/>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“三水一体”协同管控体系涉及国家水资源安全、生态环境数据和关键基础设施，其商用密码应用安全建设方案必须严格遵循《中华人民共和国密码法》、《信息安全技术 信息系统密码应用基本要求》（GB/T 39786-2021）等法律法规和标准，确保系统达到信息系统安全等级保护第三级及以上要求。</w:t>
      </w:r>
    </w:p>
    <w:p>
      <w:pPr>
        <w:pStyle w:val="7"/>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lang w:val="en-US" w:eastAsia="zh-CN"/>
        </w:rPr>
        <w:t>总体目标与原则</w:t>
      </w:r>
    </w:p>
    <w:p>
      <w:pPr>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b/>
          <w:bCs/>
          <w:sz w:val="24"/>
          <w:szCs w:val="24"/>
          <w:u w:val="none"/>
          <w:lang w:val="en-US" w:eastAsia="zh-CN"/>
        </w:rPr>
        <w:t>1）总体目标：</w:t>
      </w:r>
      <w:r>
        <w:rPr>
          <w:rFonts w:hint="default" w:asciiTheme="minorAscii" w:hAnsiTheme="minorAscii" w:eastAsiaTheme="minorEastAsia" w:cstheme="minorEastAsia"/>
          <w:sz w:val="24"/>
          <w:szCs w:val="24"/>
          <w:u w:val="none"/>
          <w:lang w:val="en-US" w:eastAsia="zh-CN"/>
        </w:rPr>
        <w:t>构建“贯穿全程、覆盖全面、安全合规、自主可控”的商用密码应用防护体系，保障“三水一体”协同管控体系</w:t>
      </w:r>
      <w:r>
        <w:rPr>
          <w:rFonts w:hint="default" w:asciiTheme="minorAscii" w:hAnsiTheme="minorAscii" w:eastAsiaTheme="minorEastAsia" w:cstheme="minorEastAsia"/>
          <w:sz w:val="24"/>
          <w:szCs w:val="24"/>
          <w:lang w:val="en-US" w:eastAsia="zh-CN"/>
        </w:rPr>
        <w:t>风险源监测与环境应急平台（</w:t>
      </w:r>
      <w:r>
        <w:rPr>
          <w:rFonts w:hint="default" w:asciiTheme="minorAscii" w:hAnsiTheme="minorAscii" w:eastAsiaTheme="minorEastAsia" w:cstheme="minorEastAsia"/>
          <w:sz w:val="24"/>
          <w:szCs w:val="24"/>
          <w:u w:val="none"/>
          <w:lang w:val="en-US" w:eastAsia="zh-CN"/>
        </w:rPr>
        <w:t>系统）中数据的机密性、完整性、真实性、不可否认性，满足国家法律法规和行业监管要求，有效抵御网络攻击和数据泄露风险。</w:t>
      </w:r>
    </w:p>
    <w:p>
      <w:pPr>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b/>
          <w:bCs/>
          <w:sz w:val="24"/>
          <w:szCs w:val="24"/>
          <w:u w:val="none"/>
          <w:lang w:val="en-US" w:eastAsia="zh-CN"/>
        </w:rPr>
      </w:pPr>
      <w:r>
        <w:rPr>
          <w:rFonts w:hint="default" w:asciiTheme="minorAscii" w:hAnsiTheme="minorAscii" w:eastAsiaTheme="minorEastAsia" w:cstheme="minorEastAsia"/>
          <w:b/>
          <w:bCs/>
          <w:sz w:val="24"/>
          <w:szCs w:val="24"/>
          <w:u w:val="none"/>
          <w:lang w:val="en-US" w:eastAsia="zh-CN"/>
        </w:rPr>
        <w:t>2）建设原则：</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合规性原则：严格遵循国密算法标准和密码应用要求。</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同步性原则：密码保障系统与本项目同步规划、同步建设、同步运行（“三同步”）。</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系统性原则：覆盖物理和环境、网络和通信、设备和计算、应用和数据等各层面。</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可管可控原则：实现密码资源的统一管理、集中监控和弹性调度。</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最小化原则：在保障安全的前提下，优化性能，避免过度加密影响业务效率。</w:t>
      </w:r>
    </w:p>
    <w:p>
      <w:pPr>
        <w:pStyle w:val="7"/>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密码应用架构设计</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构建“一个中心、三重防护”的密码应用支撑体系。</w:t>
      </w:r>
    </w:p>
    <w:p>
      <w:pPr>
        <w:pStyle w:val="8"/>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一个中心：统一密码服务与密钥管理中心</w:t>
      </w:r>
    </w:p>
    <w:p>
      <w:pPr>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b/>
          <w:bCs/>
          <w:sz w:val="24"/>
          <w:szCs w:val="24"/>
          <w:u w:val="none"/>
          <w:lang w:val="en-US" w:eastAsia="zh-CN"/>
        </w:rPr>
        <w:t>1）功能：</w:t>
      </w:r>
      <w:r>
        <w:rPr>
          <w:rFonts w:hint="default" w:asciiTheme="minorAscii" w:hAnsiTheme="minorAscii" w:eastAsiaTheme="minorEastAsia" w:cstheme="minorEastAsia"/>
          <w:sz w:val="24"/>
          <w:szCs w:val="24"/>
          <w:u w:val="none"/>
          <w:lang w:val="en-US" w:eastAsia="zh-CN"/>
        </w:rPr>
        <w:t>作为整个体系的信任根和密码能力输出核心。</w:t>
      </w:r>
    </w:p>
    <w:p>
      <w:pPr>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b/>
          <w:bCs/>
          <w:sz w:val="24"/>
          <w:szCs w:val="24"/>
          <w:u w:val="none"/>
          <w:lang w:val="en-US" w:eastAsia="zh-CN"/>
        </w:rPr>
        <w:t>2）组成：</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密钥管理系统：基于国密局批准的硬件密码机（SD-A101等），负责产生和管理根密钥、主密钥及各类应用密钥。</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证书认证系统：提供基于SM2算法的数字证书签发、管理、吊销服务，为人员、设备、应用建立可信数字身份。</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统一密码服务系统：以服务化（API/SDK）方式向上层应用提供统一的签名验签、加密解密、杂凑计算等密码运算服务，降低应用集成复杂度。</w:t>
      </w:r>
    </w:p>
    <w:p>
      <w:pPr>
        <w:pStyle w:val="8"/>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三重防护：逐层加密，纵深防御</w:t>
      </w:r>
    </w:p>
    <w:p>
      <w:pPr>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b/>
          <w:bCs/>
          <w:sz w:val="24"/>
          <w:szCs w:val="24"/>
          <w:u w:val="none"/>
          <w:lang w:val="en-US" w:eastAsia="zh-CN"/>
        </w:rPr>
      </w:pPr>
      <w:r>
        <w:rPr>
          <w:rFonts w:hint="default" w:asciiTheme="minorAscii" w:hAnsiTheme="minorAscii" w:eastAsiaTheme="minorEastAsia" w:cstheme="minorEastAsia"/>
          <w:b/>
          <w:bCs/>
          <w:sz w:val="24"/>
          <w:szCs w:val="24"/>
          <w:u w:val="none"/>
          <w:lang w:val="en-US" w:eastAsia="zh-CN"/>
        </w:rPr>
        <w:t>1） 第一重：网络与通信安全防护</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网络边界：在数据中心入口、与政务外网/互联网对接边界部署国密VPN网关，实现跨网数据传输加密和访问控制。</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内部通信：对管理终端与服务器、微服务间API调用、数据库访问等内部关键通信链路，强制使用国密SSL/TLS。</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物联网接入：对遥测终端、摄像头等物联网设备，采用轻量级国密算法或集成国密安全芯片，实现与平台间的双向认证和加密通信。</w:t>
      </w:r>
    </w:p>
    <w:p>
      <w:pPr>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b/>
          <w:bCs/>
          <w:sz w:val="24"/>
          <w:szCs w:val="24"/>
          <w:u w:val="none"/>
          <w:lang w:val="en-US" w:eastAsia="zh-CN"/>
        </w:rPr>
      </w:pPr>
      <w:r>
        <w:rPr>
          <w:rFonts w:hint="default" w:asciiTheme="minorAscii" w:hAnsiTheme="minorAscii" w:eastAsiaTheme="minorEastAsia" w:cstheme="minorEastAsia"/>
          <w:b/>
          <w:bCs/>
          <w:sz w:val="24"/>
          <w:szCs w:val="24"/>
          <w:u w:val="none"/>
          <w:lang w:val="en-US" w:eastAsia="zh-CN"/>
        </w:rPr>
        <w:t>2） 第二重：设备与计算安全防护</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服务器/终端：安装国密浏览器、国密安全客户端，支持国密证书登录和文件加密。</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关键服务器：配备服务器密码机，为数据库加密、应用系统提供高性能、高安全的密码运算支撑。</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数据库加密：对核心数据库，采用透明加密或应用层加密方式，对敏感字段（如用户身份证号、联系方式）进行存储加密。</w:t>
      </w:r>
    </w:p>
    <w:p>
      <w:pPr>
        <w:keepNext w:val="0"/>
        <w:keepLines w:val="0"/>
        <w:pageBreakBefore w:val="0"/>
        <w:widowControl w:val="0"/>
        <w:kinsoku/>
        <w:wordWrap/>
        <w:overflowPunct/>
        <w:topLinePunct w:val="0"/>
        <w:autoSpaceDE/>
        <w:autoSpaceDN/>
        <w:bidi w:val="0"/>
        <w:adjustRightInd w:val="0"/>
        <w:snapToGrid w:val="0"/>
        <w:ind w:firstLine="481" w:firstLineChars="200"/>
        <w:textAlignment w:val="auto"/>
        <w:rPr>
          <w:rFonts w:hint="default" w:asciiTheme="minorAscii" w:hAnsiTheme="minorAscii" w:eastAsiaTheme="minorEastAsia" w:cstheme="minorEastAsia"/>
          <w:b/>
          <w:bCs/>
          <w:sz w:val="24"/>
          <w:szCs w:val="24"/>
          <w:u w:val="none"/>
          <w:lang w:val="en-US" w:eastAsia="zh-CN"/>
        </w:rPr>
      </w:pPr>
      <w:r>
        <w:rPr>
          <w:rFonts w:hint="default" w:asciiTheme="minorAscii" w:hAnsiTheme="minorAscii" w:eastAsiaTheme="minorEastAsia" w:cstheme="minorEastAsia"/>
          <w:b/>
          <w:bCs/>
          <w:sz w:val="24"/>
          <w:szCs w:val="24"/>
          <w:u w:val="none"/>
          <w:lang w:val="en-US" w:eastAsia="zh-CN"/>
        </w:rPr>
        <w:t>3） 第三重：应用与数据安全防护</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身份认证：统一身份认证平台集成国密证书/国密SM2签名认证，替代或增强原有的用户名/口令认证。</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应用集成：在“三水一体”协同管控体系</w:t>
      </w:r>
      <w:r>
        <w:rPr>
          <w:rFonts w:hint="default" w:asciiTheme="minorAscii" w:hAnsiTheme="minorAscii" w:eastAsiaTheme="minorEastAsia" w:cstheme="minorEastAsia"/>
          <w:sz w:val="24"/>
          <w:szCs w:val="24"/>
          <w:lang w:val="en-US" w:eastAsia="zh-CN"/>
        </w:rPr>
        <w:t>风险源监测与环境应急平台（</w:t>
      </w:r>
      <w:r>
        <w:rPr>
          <w:rFonts w:hint="default" w:asciiTheme="minorAscii" w:hAnsiTheme="minorAscii" w:eastAsiaTheme="minorEastAsia" w:cstheme="minorEastAsia"/>
          <w:sz w:val="24"/>
          <w:szCs w:val="24"/>
          <w:u w:val="none"/>
          <w:lang w:val="en-US" w:eastAsia="zh-CN"/>
        </w:rPr>
        <w:t>系统）各业务子系统（</w:t>
      </w:r>
      <w:r>
        <w:rPr>
          <w:rFonts w:hint="default" w:asciiTheme="minorAscii" w:hAnsiTheme="minorAscii" w:eastAsiaTheme="minorEastAsia" w:cstheme="minorEastAsia"/>
          <w:spacing w:val="-6"/>
          <w:sz w:val="24"/>
          <w:szCs w:val="24"/>
          <w:lang w:val="en-US" w:eastAsia="zh-CN"/>
        </w:rPr>
        <w:t>多维协同系统、数据可视化系统、指挥调度系统、智慧管理系统、环境秩序导引系统、“三水”慢直播系统、全业务移动端、AI支撑系统、应用支撑系统、物联支撑系统和运维系统</w:t>
      </w:r>
      <w:r>
        <w:rPr>
          <w:rFonts w:hint="default" w:asciiTheme="minorAscii" w:hAnsiTheme="minorAscii" w:eastAsiaTheme="minorEastAsia" w:cstheme="minorEastAsia"/>
          <w:sz w:val="24"/>
          <w:szCs w:val="24"/>
          <w:u w:val="none"/>
          <w:lang w:val="en-US" w:eastAsia="zh-CN"/>
        </w:rPr>
        <w:t>）中，调用统一的密码服务API，实现：</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登录环节：SM2证书或动态令牌认证。</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数据传输环节：敏感表单提交、文件上传时进行签名和加密。</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数据存储环节：关键业务数据入库前加密。</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业务操作环节：重要指令、审批流程节点进行数字签名。</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电子签章：对生成的正式报告、行政文书、调令等PDF文件，加盖基于国密算法的可靠电子签章，具备法律效力。</w:t>
      </w:r>
    </w:p>
    <w:p>
      <w:pPr>
        <w:pStyle w:val="7"/>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关键技术实现</w:t>
      </w:r>
    </w:p>
    <w:p>
      <w:pPr>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b/>
          <w:bCs/>
          <w:sz w:val="24"/>
          <w:szCs w:val="24"/>
          <w:u w:val="none"/>
          <w:lang w:val="en-US" w:eastAsia="zh-CN"/>
        </w:rPr>
        <w:t>1）核心算法：</w:t>
      </w:r>
      <w:r>
        <w:rPr>
          <w:rFonts w:hint="default" w:asciiTheme="minorAscii" w:hAnsiTheme="minorAscii" w:eastAsiaTheme="minorEastAsia" w:cstheme="minorEastAsia"/>
          <w:sz w:val="24"/>
          <w:szCs w:val="24"/>
          <w:u w:val="none"/>
          <w:lang w:val="en-US" w:eastAsia="zh-CN"/>
        </w:rPr>
        <w:t>SM2（椭圆曲线公钥密码）、SM3（密码杂凑）、SM4（分组密码）、SM9（标识密码）。</w:t>
      </w:r>
    </w:p>
    <w:p>
      <w:pPr>
        <w:rPr>
          <w:rFonts w:hint="default" w:asciiTheme="minorAscii" w:hAnsiTheme="minorAscii" w:eastAsiaTheme="minorEastAsia" w:cstheme="minorEastAsia"/>
          <w:b/>
          <w:bCs/>
          <w:sz w:val="24"/>
          <w:szCs w:val="24"/>
          <w:u w:val="none"/>
          <w:lang w:val="en-US" w:eastAsia="zh-CN"/>
        </w:rPr>
      </w:pPr>
      <w:r>
        <w:rPr>
          <w:rFonts w:hint="default" w:asciiTheme="minorAscii" w:hAnsiTheme="minorAscii" w:eastAsiaTheme="minorEastAsia" w:cstheme="minorEastAsia"/>
          <w:b/>
          <w:bCs/>
          <w:sz w:val="24"/>
          <w:szCs w:val="24"/>
          <w:u w:val="none"/>
          <w:lang w:val="en-US" w:eastAsia="zh-CN"/>
        </w:rPr>
        <w:t>2）建设/部署模式：</w:t>
      </w:r>
    </w:p>
    <w:p>
      <w:pPr>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优先采用通过国家密码管理局认证的产品。</w:t>
      </w:r>
    </w:p>
    <w:p>
      <w:pPr>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对于云平台部分，可选用云密码服务（如云密码机、云密钥管理服务），但需确保其合规性并实现与本地密钥管理的无缝对接。</w:t>
      </w:r>
    </w:p>
    <w:p>
      <w:pPr>
        <w:pStyle w:val="7"/>
        <w:bidi w:val="0"/>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商用密码应用安全建设配置清单</w:t>
      </w:r>
    </w:p>
    <w:tbl>
      <w:tblPr>
        <w:tblStyle w:val="19"/>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378"/>
        <w:gridCol w:w="792"/>
        <w:gridCol w:w="666"/>
        <w:gridCol w:w="3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序号</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设备设施名称</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数量</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单位</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b/>
                <w:bCs/>
                <w:sz w:val="24"/>
                <w:szCs w:val="24"/>
                <w:vertAlign w:val="baseline"/>
                <w:lang w:val="en-US" w:eastAsia="zh-CN"/>
              </w:rPr>
            </w:pPr>
            <w:r>
              <w:rPr>
                <w:rFonts w:hint="default" w:asciiTheme="minorAscii" w:hAnsiTheme="minorAscii" w:eastAsiaTheme="minorEastAsia" w:cstheme="minorEastAsia"/>
                <w:b/>
                <w:bCs/>
                <w:sz w:val="24"/>
                <w:szCs w:val="24"/>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密码服务管理平台</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套</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部署于广元市政务云服务器。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2</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VPN安全网关</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台</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3</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服务器密码机</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台</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4</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签名验签服务器</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台</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5</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协同签名服务系统</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1</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套</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6</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智能密码钥匙</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50</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个</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7</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个人数字证书</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50</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个/年</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8</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SSL设备证书</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个</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19"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9</w:t>
            </w:r>
          </w:p>
        </w:tc>
        <w:tc>
          <w:tcPr>
            <w:tcW w:w="337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SSL站点证书</w:t>
            </w:r>
          </w:p>
        </w:tc>
        <w:tc>
          <w:tcPr>
            <w:tcW w:w="79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2</w:t>
            </w:r>
          </w:p>
        </w:tc>
        <w:tc>
          <w:tcPr>
            <w:tcW w:w="66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ind w:firstLine="0" w:firstLineChars="0"/>
              <w:jc w:val="center"/>
              <w:textAlignment w:val="auto"/>
              <w:rPr>
                <w:rFonts w:hint="default" w:asciiTheme="minorAscii" w:hAnsiTheme="minorAscii" w:eastAsiaTheme="minorEastAsia" w:cstheme="minorEastAsia"/>
                <w:sz w:val="24"/>
                <w:szCs w:val="24"/>
                <w:vertAlign w:val="baseline"/>
                <w:lang w:val="en-US" w:eastAsia="zh-CN"/>
              </w:rPr>
            </w:pPr>
            <w:r>
              <w:rPr>
                <w:rFonts w:hint="default" w:asciiTheme="minorAscii" w:hAnsiTheme="minorAscii" w:eastAsiaTheme="minorEastAsia" w:cstheme="minorEastAsia"/>
                <w:sz w:val="24"/>
                <w:szCs w:val="24"/>
                <w:vertAlign w:val="baseline"/>
                <w:lang w:val="en-US" w:eastAsia="zh-CN"/>
              </w:rPr>
              <w:t>个</w:t>
            </w:r>
          </w:p>
        </w:tc>
        <w:tc>
          <w:tcPr>
            <w:tcW w:w="3396" w:type="dxa"/>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both"/>
              <w:textAlignment w:val="auto"/>
              <w:rPr>
                <w:rFonts w:hint="default" w:asciiTheme="minorAscii" w:hAnsiTheme="minorAscii" w:eastAsiaTheme="minorEastAsia" w:cstheme="minorEastAsia"/>
                <w:sz w:val="24"/>
                <w:szCs w:val="24"/>
                <w:vertAlign w:val="baseline"/>
                <w:lang w:val="en-US" w:eastAsia="zh-CN"/>
              </w:rPr>
            </w:pPr>
          </w:p>
        </w:tc>
      </w:tr>
    </w:tbl>
    <w:p>
      <w:pPr>
        <w:pStyle w:val="7"/>
        <w:keepNext/>
        <w:keepLines/>
        <w:pageBreakBefore w:val="0"/>
        <w:widowControl w:val="0"/>
        <w:kinsoku/>
        <w:wordWrap/>
        <w:overflowPunct/>
        <w:topLinePunct w:val="0"/>
        <w:autoSpaceDE/>
        <w:autoSpaceDN/>
        <w:bidi w:val="0"/>
        <w:adjustRightInd/>
        <w:snapToGrid w:val="0"/>
        <w:spacing w:before="499" w:beforeLines="150"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实施步骤</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b/>
          <w:bCs/>
          <w:sz w:val="24"/>
          <w:szCs w:val="24"/>
          <w:u w:val="none"/>
          <w:lang w:val="en-US" w:eastAsia="zh-CN"/>
        </w:rPr>
      </w:pPr>
      <w:r>
        <w:rPr>
          <w:rFonts w:hint="default" w:asciiTheme="minorAscii" w:hAnsiTheme="minorAscii" w:eastAsiaTheme="minorEastAsia" w:cstheme="minorEastAsia"/>
          <w:b/>
          <w:bCs/>
          <w:sz w:val="24"/>
          <w:szCs w:val="24"/>
          <w:u w:val="none"/>
          <w:lang w:val="en-US" w:eastAsia="zh-CN"/>
        </w:rPr>
        <w:t>1）第一阶段：规划设计与试点</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完成密码应用方案详细设计。</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搭建统一的密码服务与密钥管理平台（基础版）。</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选取 “水环境监测数据上报”或“全业务移动端登录”等1-2个典型场景进行试点集成，验证技术路线。</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b/>
          <w:bCs/>
          <w:sz w:val="24"/>
          <w:szCs w:val="24"/>
          <w:u w:val="none"/>
          <w:lang w:val="en-US" w:eastAsia="zh-CN"/>
        </w:rPr>
      </w:pPr>
      <w:r>
        <w:rPr>
          <w:rFonts w:hint="default" w:asciiTheme="minorAscii" w:hAnsiTheme="minorAscii" w:eastAsiaTheme="minorEastAsia" w:cstheme="minorEastAsia"/>
          <w:b/>
          <w:bCs/>
          <w:sz w:val="24"/>
          <w:szCs w:val="24"/>
          <w:u w:val="none"/>
          <w:lang w:val="en-US" w:eastAsia="zh-CN"/>
        </w:rPr>
        <w:t>2）第二阶段：全面集成与推广</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将密码服务能力全面赋能给“三水一体”协同管控体系</w:t>
      </w:r>
      <w:r>
        <w:rPr>
          <w:rFonts w:hint="default" w:asciiTheme="minorAscii" w:hAnsiTheme="minorAscii" w:eastAsiaTheme="minorEastAsia" w:cstheme="minorEastAsia"/>
          <w:sz w:val="24"/>
          <w:szCs w:val="24"/>
          <w:lang w:val="en-US" w:eastAsia="zh-CN"/>
        </w:rPr>
        <w:t>风险源监测与环境应急平台</w:t>
      </w:r>
      <w:r>
        <w:rPr>
          <w:rFonts w:hint="default" w:asciiTheme="minorAscii" w:hAnsiTheme="minorAscii" w:eastAsiaTheme="minorEastAsia" w:cstheme="minorEastAsia"/>
          <w:sz w:val="24"/>
          <w:szCs w:val="24"/>
          <w:u w:val="none"/>
          <w:lang w:val="en-US" w:eastAsia="zh-CN"/>
        </w:rPr>
        <w:t>所有新建子系统。</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对已建系统进行密码应用改造。</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完成网络层、物联网层的国密通信改造。</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b/>
          <w:bCs/>
          <w:sz w:val="24"/>
          <w:szCs w:val="24"/>
          <w:u w:val="none"/>
          <w:lang w:val="en-US" w:eastAsia="zh-CN"/>
        </w:rPr>
        <w:t>3）第三阶段：运维管理与持续优化</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建立密码设备与系统的运维管理制度。</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开展全员密码安全培训。</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定期进行密钥更换、应急演练。</w:t>
      </w:r>
    </w:p>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为最终的商用密码应用安全性评估做好准备。</w:t>
      </w:r>
    </w:p>
    <w:p>
      <w:pPr>
        <w:pStyle w:val="7"/>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合规性保证与测评</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方案设计依据：严格对标GB/T 39786-2021中的第三级要求，对“物理和环境、网络和通信、设备和计算、应用和数据”四个层面进行密码应用设计。</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测评准备：</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在项目建设后期，必须委托国家密码管理局认可的测评机构进行商用密码应用安全性评估。</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评估内容包括：密码技术应用的合规性、正确性和有效性，密钥管理的安全性等。</w:t>
      </w:r>
    </w:p>
    <w:p>
      <w:pPr>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z w:val="24"/>
          <w:szCs w:val="24"/>
          <w:u w:val="none"/>
          <w:lang w:val="en-US" w:eastAsia="zh-CN"/>
        </w:rPr>
      </w:pPr>
      <w:r>
        <w:rPr>
          <w:rFonts w:hint="default" w:asciiTheme="minorAscii" w:hAnsiTheme="minorAscii" w:eastAsiaTheme="minorEastAsia" w:cstheme="minorEastAsia"/>
          <w:sz w:val="24"/>
          <w:szCs w:val="24"/>
          <w:u w:val="none"/>
          <w:lang w:val="en-US" w:eastAsia="zh-CN"/>
        </w:rPr>
        <w:t>只有通过测评，系统才能正式投入运行。</w:t>
      </w:r>
    </w:p>
    <w:p>
      <w:pPr>
        <w:pStyle w:val="4"/>
        <w:keepNext/>
        <w:keepLines/>
        <w:pageBreakBefore w:val="0"/>
        <w:widowControl w:val="0"/>
        <w:kinsoku/>
        <w:wordWrap/>
        <w:overflowPunct/>
        <w:topLinePunct w:val="0"/>
        <w:autoSpaceDE/>
        <w:autoSpaceDN/>
        <w:bidi w:val="0"/>
        <w:adjustRightInd/>
        <w:snapToGrid w:val="0"/>
        <w:spacing w:before="333" w:beforeLines="100" w:after="166" w:line="300" w:lineRule="exact"/>
        <w:jc w:val="left"/>
        <w:textAlignment w:val="auto"/>
        <w:rPr>
          <w:rFonts w:hint="default" w:asciiTheme="minorAscii" w:hAnsiTheme="minorAscii" w:eastAsiaTheme="minorEastAsia" w:cstheme="minorEastAsia"/>
          <w:spacing w:val="0"/>
          <w:sz w:val="24"/>
          <w:szCs w:val="24"/>
        </w:rPr>
      </w:pPr>
      <w:bookmarkStart w:id="163" w:name="_Toc10943"/>
      <w:r>
        <w:rPr>
          <w:rFonts w:hint="default" w:asciiTheme="minorAscii" w:hAnsiTheme="minorAscii" w:eastAsiaTheme="minorEastAsia" w:cstheme="minorEastAsia"/>
          <w:spacing w:val="0"/>
          <w:sz w:val="24"/>
          <w:szCs w:val="24"/>
        </w:rPr>
        <w:t>运行维护系统建设</w:t>
      </w:r>
      <w:bookmarkEnd w:id="163"/>
    </w:p>
    <w:p>
      <w:pPr>
        <w:pStyle w:val="5"/>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pacing w:val="0"/>
          <w:sz w:val="24"/>
          <w:szCs w:val="24"/>
        </w:rPr>
      </w:pPr>
      <w:bookmarkStart w:id="164" w:name="_Toc25751"/>
      <w:bookmarkStart w:id="165" w:name="_Toc14680"/>
      <w:bookmarkStart w:id="166" w:name="_Toc25616"/>
      <w:bookmarkStart w:id="167" w:name="_Toc14948"/>
      <w:bookmarkStart w:id="168" w:name="_Toc15440"/>
      <w:r>
        <w:rPr>
          <w:rFonts w:hint="default" w:asciiTheme="minorAscii" w:hAnsiTheme="minorAscii" w:eastAsiaTheme="minorEastAsia" w:cstheme="minorEastAsia"/>
          <w:spacing w:val="0"/>
          <w:sz w:val="24"/>
          <w:szCs w:val="24"/>
        </w:rPr>
        <w:t>运营服务</w:t>
      </w:r>
      <w:bookmarkEnd w:id="164"/>
      <w:r>
        <w:rPr>
          <w:rFonts w:hint="default" w:asciiTheme="minorAscii" w:hAnsiTheme="minorAscii" w:eastAsiaTheme="minorEastAsia" w:cstheme="minorEastAsia"/>
          <w:spacing w:val="0"/>
          <w:sz w:val="24"/>
          <w:szCs w:val="24"/>
          <w:lang w:val="en-US" w:eastAsia="zh-CN"/>
        </w:rPr>
        <w:t>方案</w:t>
      </w:r>
      <w:r>
        <w:rPr>
          <w:rFonts w:hint="default" w:asciiTheme="minorAscii" w:hAnsiTheme="minorAscii" w:eastAsiaTheme="minorEastAsia" w:cstheme="minorEastAsia"/>
          <w:spacing w:val="0"/>
          <w:sz w:val="24"/>
          <w:szCs w:val="24"/>
        </w:rPr>
        <w:t>设计</w:t>
      </w:r>
      <w:bookmarkEnd w:id="165"/>
      <w:bookmarkEnd w:id="166"/>
      <w:bookmarkEnd w:id="167"/>
      <w:bookmarkEnd w:id="168"/>
    </w:p>
    <w:p>
      <w:pPr>
        <w:pageBreakBefore w:val="0"/>
        <w:kinsoku/>
        <w:wordWrap/>
        <w:overflowPunct/>
        <w:topLinePunct w:val="0"/>
        <w:autoSpaceDE/>
        <w:autoSpaceDN/>
        <w:bidi w:val="0"/>
        <w:spacing w:line="300" w:lineRule="exact"/>
        <w:ind w:firstLine="480"/>
        <w:jc w:val="left"/>
        <w:rPr>
          <w:rFonts w:hint="default" w:asciiTheme="minorAscii" w:hAnsiTheme="minorAscii" w:eastAsiaTheme="minorEastAsia" w:cstheme="minorEastAsia"/>
          <w:spacing w:val="0"/>
          <w:sz w:val="24"/>
          <w:szCs w:val="24"/>
        </w:rPr>
      </w:pPr>
      <w:bookmarkStart w:id="169" w:name="_Toc26936"/>
      <w:bookmarkStart w:id="170" w:name="_Toc7097"/>
      <w:r>
        <w:rPr>
          <w:rFonts w:hint="default" w:asciiTheme="minorAscii" w:hAnsiTheme="minorAscii" w:eastAsiaTheme="minorEastAsia" w:cstheme="minorEastAsia"/>
          <w:spacing w:val="0"/>
          <w:sz w:val="24"/>
          <w:szCs w:val="24"/>
        </w:rPr>
        <w:t>运营服务方案包含：运营体系规划、运营管理和运营服务内容。</w:t>
      </w:r>
    </w:p>
    <w:p>
      <w:pPr>
        <w:pStyle w:val="7"/>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运营体系规划</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针对性地构建本项目的运营组织、流程、规范、体系及运营能力，通过设置明确的系统度量指标体系，采用合理的绩效评价方法，最终实现</w:t>
      </w:r>
      <w:r>
        <w:rPr>
          <w:rFonts w:hint="default" w:asciiTheme="minorAscii" w:hAnsiTheme="minorAscii" w:eastAsiaTheme="minorEastAsia" w:cstheme="minorEastAsia"/>
          <w:spacing w:val="0"/>
          <w:sz w:val="24"/>
          <w:szCs w:val="24"/>
          <w:lang w:eastAsia="zh-CN"/>
        </w:rPr>
        <w:t>“</w:t>
      </w:r>
      <w:r>
        <w:rPr>
          <w:rFonts w:hint="default" w:asciiTheme="minorAscii" w:hAnsiTheme="minorAscii" w:eastAsiaTheme="minorEastAsia" w:cstheme="minorEastAsia"/>
          <w:spacing w:val="0"/>
          <w:sz w:val="24"/>
          <w:szCs w:val="24"/>
          <w:lang w:val="en-US" w:eastAsia="zh-CN"/>
        </w:rPr>
        <w:t>三水一体</w:t>
      </w:r>
      <w:r>
        <w:rPr>
          <w:rFonts w:hint="default" w:asciiTheme="minorAscii" w:hAnsiTheme="minorAscii" w:eastAsiaTheme="minorEastAsia" w:cstheme="minorEastAsia"/>
          <w:spacing w:val="0"/>
          <w:sz w:val="24"/>
          <w:szCs w:val="24"/>
          <w:lang w:eastAsia="zh-CN"/>
        </w:rPr>
        <w:t>”</w:t>
      </w:r>
      <w:r>
        <w:rPr>
          <w:rFonts w:hint="default" w:asciiTheme="minorAscii" w:hAnsiTheme="minorAscii" w:eastAsiaTheme="minorEastAsia" w:cstheme="minorEastAsia"/>
          <w:spacing w:val="0"/>
          <w:sz w:val="24"/>
          <w:szCs w:val="24"/>
          <w:lang w:val="en-US" w:eastAsia="zh-CN"/>
        </w:rPr>
        <w:t>协同管控体系</w:t>
      </w:r>
      <w:r>
        <w:rPr>
          <w:rFonts w:hint="default" w:asciiTheme="minorAscii" w:hAnsiTheme="minorAscii" w:eastAsiaTheme="minorEastAsia" w:cstheme="minorEastAsia"/>
          <w:spacing w:val="0"/>
          <w:sz w:val="24"/>
          <w:szCs w:val="24"/>
        </w:rPr>
        <w:t>的高效运转，</w:t>
      </w:r>
      <w:r>
        <w:rPr>
          <w:rFonts w:hint="default" w:asciiTheme="minorAscii" w:hAnsiTheme="minorAscii" w:eastAsiaTheme="minorEastAsia" w:cstheme="minorEastAsia"/>
          <w:spacing w:val="0"/>
          <w:sz w:val="24"/>
          <w:szCs w:val="24"/>
          <w:lang w:val="en-US" w:eastAsia="zh-CN"/>
        </w:rPr>
        <w:t>从而大幅</w:t>
      </w:r>
      <w:r>
        <w:rPr>
          <w:rFonts w:hint="default" w:asciiTheme="minorAscii" w:hAnsiTheme="minorAscii" w:eastAsiaTheme="minorEastAsia" w:cstheme="minorEastAsia"/>
          <w:spacing w:val="0"/>
          <w:sz w:val="24"/>
          <w:szCs w:val="24"/>
        </w:rPr>
        <w:t>提升</w:t>
      </w:r>
      <w:r>
        <w:rPr>
          <w:rFonts w:hint="default" w:asciiTheme="minorAscii" w:hAnsiTheme="minorAscii" w:eastAsiaTheme="minorEastAsia" w:cstheme="minorEastAsia"/>
          <w:spacing w:val="0"/>
          <w:sz w:val="24"/>
          <w:szCs w:val="24"/>
          <w:lang w:val="en-US" w:eastAsia="zh-CN"/>
        </w:rPr>
        <w:t>广元市白龙湖风景名胜区管理局管湖治湖护湖的效能，推动白龙湖风景名胜区水资源、水生态、水环境保护再上新台阶，让美丽的白龙湖持续发挥生态效益和经济社会效益</w:t>
      </w:r>
      <w:r>
        <w:rPr>
          <w:rFonts w:hint="default" w:asciiTheme="minorAscii" w:hAnsiTheme="minorAscii" w:eastAsiaTheme="minorEastAsia" w:cstheme="minorEastAsia"/>
          <w:spacing w:val="0"/>
          <w:sz w:val="24"/>
          <w:szCs w:val="24"/>
        </w:rPr>
        <w:t>。</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配置1名高级工程师做好运营规划设计，</w:t>
      </w:r>
      <w:r>
        <w:rPr>
          <w:rFonts w:hint="default" w:asciiTheme="minorAscii" w:hAnsiTheme="minorAscii" w:eastAsiaTheme="minorEastAsia" w:cstheme="minorEastAsia"/>
          <w:spacing w:val="0"/>
          <w:sz w:val="24"/>
          <w:szCs w:val="24"/>
          <w:lang w:val="en-US" w:eastAsia="zh-CN"/>
        </w:rPr>
        <w:t>建设</w:t>
      </w:r>
      <w:r>
        <w:rPr>
          <w:rFonts w:hint="default" w:asciiTheme="minorAscii" w:hAnsiTheme="minorAscii" w:eastAsiaTheme="minorEastAsia" w:cstheme="minorEastAsia"/>
          <w:spacing w:val="0"/>
          <w:sz w:val="24"/>
          <w:szCs w:val="24"/>
        </w:rPr>
        <w:t>一个全功能运营团队，提供贴身式的运营服务，满足快速响应需求，确保</w:t>
      </w:r>
      <w:r>
        <w:rPr>
          <w:rFonts w:hint="default" w:asciiTheme="minorAscii" w:hAnsiTheme="minorAscii" w:eastAsiaTheme="minorEastAsia" w:cstheme="minorEastAsia"/>
          <w:b/>
          <w:bCs/>
          <w:sz w:val="24"/>
          <w:szCs w:val="24"/>
          <w:u w:val="wave"/>
          <w:lang w:val="en-US" w:eastAsia="zh-CN"/>
        </w:rPr>
        <w:t>白龙湖“三水一体协同管控体系”风险源监测与环境应急平台</w:t>
      </w:r>
      <w:r>
        <w:rPr>
          <w:rFonts w:hint="default" w:asciiTheme="minorAscii" w:hAnsiTheme="minorAscii" w:eastAsiaTheme="minorEastAsia" w:cstheme="minorEastAsia"/>
          <w:spacing w:val="0"/>
          <w:sz w:val="24"/>
          <w:szCs w:val="24"/>
          <w:lang w:val="en-US" w:eastAsia="zh-CN"/>
        </w:rPr>
        <w:t>稳定运行、</w:t>
      </w:r>
      <w:r>
        <w:rPr>
          <w:rFonts w:hint="default" w:asciiTheme="minorAscii" w:hAnsiTheme="minorAscii" w:eastAsiaTheme="minorEastAsia" w:cstheme="minorEastAsia"/>
          <w:spacing w:val="0"/>
          <w:sz w:val="24"/>
          <w:szCs w:val="24"/>
        </w:rPr>
        <w:t>持续</w:t>
      </w:r>
      <w:r>
        <w:rPr>
          <w:rFonts w:hint="default" w:asciiTheme="minorAscii" w:hAnsiTheme="minorAscii" w:eastAsiaTheme="minorEastAsia" w:cstheme="minorEastAsia"/>
          <w:spacing w:val="0"/>
          <w:sz w:val="24"/>
          <w:szCs w:val="24"/>
          <w:lang w:val="en-US" w:eastAsia="zh-CN"/>
        </w:rPr>
        <w:t>优化</w:t>
      </w:r>
      <w:r>
        <w:rPr>
          <w:rFonts w:hint="default" w:asciiTheme="minorAscii" w:hAnsiTheme="minorAscii" w:eastAsiaTheme="minorEastAsia" w:cstheme="minorEastAsia"/>
          <w:spacing w:val="0"/>
          <w:sz w:val="24"/>
          <w:szCs w:val="24"/>
        </w:rPr>
        <w:t>。</w:t>
      </w:r>
      <w:bookmarkEnd w:id="169"/>
      <w:bookmarkEnd w:id="170"/>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规</w:t>
      </w:r>
      <w:r>
        <w:rPr>
          <w:rFonts w:hint="default" w:asciiTheme="minorAscii" w:hAnsiTheme="minorAscii" w:eastAsiaTheme="minorEastAsia" w:cstheme="minorEastAsia"/>
          <w:spacing w:val="-6"/>
          <w:sz w:val="24"/>
          <w:szCs w:val="24"/>
        </w:rPr>
        <w:t>划设计运营工作流程，包括需求管理流程、业务专题运营流程、日常巡检流程、分析会支撑流程、运营保障流程、日常参观接待流程、日常演讲演示流程等。</w:t>
      </w:r>
    </w:p>
    <w:p>
      <w:pPr>
        <w:pStyle w:val="7"/>
        <w:keepNext w:val="0"/>
        <w:keepLines w:val="0"/>
        <w:pageBreakBefore w:val="0"/>
        <w:widowControl w:val="0"/>
        <w:kinsoku/>
        <w:wordWrap/>
        <w:overflowPunct/>
        <w:topLinePunct w:val="0"/>
        <w:autoSpaceDE/>
        <w:autoSpaceDN/>
        <w:bidi w:val="0"/>
        <w:snapToGrid w:val="0"/>
        <w:spacing w:line="300" w:lineRule="exact"/>
        <w:jc w:val="left"/>
        <w:textAlignment w:val="auto"/>
        <w:rPr>
          <w:rFonts w:hint="default" w:asciiTheme="minorAscii" w:hAnsiTheme="minorAscii" w:eastAsiaTheme="minorEastAsia" w:cstheme="minorEastAsia"/>
          <w:spacing w:val="0"/>
          <w:sz w:val="24"/>
          <w:szCs w:val="24"/>
        </w:rPr>
      </w:pPr>
      <w:bookmarkStart w:id="171" w:name="_Toc17837"/>
      <w:r>
        <w:rPr>
          <w:rFonts w:hint="default" w:asciiTheme="minorAscii" w:hAnsiTheme="minorAscii" w:eastAsiaTheme="minorEastAsia" w:cstheme="minorEastAsia"/>
          <w:spacing w:val="0"/>
          <w:sz w:val="24"/>
          <w:szCs w:val="24"/>
        </w:rPr>
        <w:t>运营</w:t>
      </w:r>
      <w:bookmarkEnd w:id="171"/>
      <w:r>
        <w:rPr>
          <w:rFonts w:hint="default" w:asciiTheme="minorAscii" w:hAnsiTheme="minorAscii" w:eastAsiaTheme="minorEastAsia" w:cstheme="minorEastAsia"/>
          <w:spacing w:val="0"/>
          <w:sz w:val="24"/>
          <w:szCs w:val="24"/>
        </w:rPr>
        <w:t>管理</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在运营过程中配置</w:t>
      </w:r>
      <w:r>
        <w:rPr>
          <w:rFonts w:hint="default" w:asciiTheme="minorAscii" w:hAnsiTheme="minorAscii" w:eastAsiaTheme="minorEastAsia" w:cstheme="minorEastAsia"/>
          <w:spacing w:val="0"/>
          <w:sz w:val="24"/>
          <w:szCs w:val="24"/>
          <w:lang w:val="en-US" w:eastAsia="zh-CN"/>
        </w:rPr>
        <w:t>专门的人员</w:t>
      </w:r>
      <w:r>
        <w:rPr>
          <w:rFonts w:hint="default" w:asciiTheme="minorAscii" w:hAnsiTheme="minorAscii" w:eastAsiaTheme="minorEastAsia" w:cstheme="minorEastAsia"/>
          <w:spacing w:val="0"/>
          <w:sz w:val="24"/>
          <w:szCs w:val="24"/>
        </w:rPr>
        <w:t>对整体项目进行管理，包括项目计划、进度、质量、风险、沟通等方面进行统一管理，作为统一出口汇报项目运营交付过程中的需求、进度、问题等维度的情况，保障项目顺利推进。</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1）项目运营范围</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根据项目立项内容，整体需求了解，结合项目特性与实际工作安排，因地制宜确定运营范围，管控运营边界，实现高效运营。</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2）项目运营计划</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项目成立后，项目团队成员根据相关项目相关情况，商讨成立各个工作小组，并制定项目运营工作计划，后续根据编制的计划进行项目推进，并根据项目实际进展，进行计划调整。</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3）项目运营资源管理</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运营过程涉及多方共同展开工作，多方资源介入。为实现项目进度、质量、风险等的管控，需要对现场所有资源进行统一管理和协调。</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4）项目运营人员分配计划</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项目运营中划分的工作小组成员需要有计划分配，划分职责、做到项目有序推进。</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5）项目运营相关文件编制</w:t>
      </w:r>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项目运营过程中的规范流程，问题管理，需求变更等需要输出相关指导文件，做到工作有据可依。</w:t>
      </w:r>
    </w:p>
    <w:p>
      <w:pPr>
        <w:pStyle w:val="7"/>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pacing w:val="0"/>
          <w:sz w:val="24"/>
          <w:szCs w:val="24"/>
        </w:rPr>
      </w:pPr>
      <w:bookmarkStart w:id="172" w:name="_Toc15485"/>
      <w:r>
        <w:rPr>
          <w:rFonts w:hint="default" w:asciiTheme="minorAscii" w:hAnsiTheme="minorAscii" w:eastAsiaTheme="minorEastAsia" w:cstheme="minorEastAsia"/>
          <w:spacing w:val="0"/>
          <w:sz w:val="24"/>
          <w:szCs w:val="24"/>
        </w:rPr>
        <w:t>运营</w:t>
      </w:r>
      <w:bookmarkEnd w:id="172"/>
      <w:r>
        <w:rPr>
          <w:rFonts w:hint="default" w:asciiTheme="minorAscii" w:hAnsiTheme="minorAscii" w:eastAsiaTheme="minorEastAsia" w:cstheme="minorEastAsia"/>
          <w:spacing w:val="0"/>
          <w:sz w:val="24"/>
          <w:szCs w:val="24"/>
        </w:rPr>
        <w:t>服务内容</w:t>
      </w:r>
    </w:p>
    <w:p>
      <w:pPr>
        <w:pageBreakBefore w:val="0"/>
        <w:tabs>
          <w:tab w:val="left" w:pos="420"/>
        </w:tabs>
        <w:kinsoku/>
        <w:wordWrap/>
        <w:overflowPunct/>
        <w:topLinePunct w:val="0"/>
        <w:autoSpaceDE/>
        <w:autoSpaceDN/>
        <w:bidi w:val="0"/>
        <w:spacing w:line="300" w:lineRule="exact"/>
        <w:ind w:firstLine="480"/>
        <w:jc w:val="left"/>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配置3名工程师（取得行业中级职称及以上）进行系统的运营服务。</w:t>
      </w:r>
    </w:p>
    <w:p>
      <w:pPr>
        <w:pageBreakBefore w:val="0"/>
        <w:tabs>
          <w:tab w:val="left" w:pos="420"/>
        </w:tabs>
        <w:kinsoku/>
        <w:wordWrap/>
        <w:overflowPunct/>
        <w:topLinePunct w:val="0"/>
        <w:autoSpaceDE/>
        <w:autoSpaceDN/>
        <w:bidi w:val="0"/>
        <w:spacing w:line="300" w:lineRule="exact"/>
        <w:ind w:firstLine="480"/>
        <w:jc w:val="left"/>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1</w:t>
      </w:r>
      <w:r>
        <w:rPr>
          <w:rFonts w:hint="default" w:asciiTheme="minorAscii" w:hAnsiTheme="minorAscii" w:eastAsiaTheme="minorEastAsia" w:cstheme="minorEastAsia"/>
          <w:spacing w:val="0"/>
          <w:sz w:val="24"/>
          <w:szCs w:val="24"/>
          <w:lang w:eastAsia="zh-CN"/>
        </w:rPr>
        <w:t>）</w:t>
      </w:r>
      <w:r>
        <w:rPr>
          <w:rFonts w:hint="default" w:asciiTheme="minorAscii" w:hAnsiTheme="minorAscii" w:eastAsiaTheme="minorEastAsia" w:cstheme="minorEastAsia"/>
          <w:spacing w:val="0"/>
          <w:sz w:val="24"/>
          <w:szCs w:val="24"/>
        </w:rPr>
        <w:t>日常运营包括但不限于面向管理局等宣传、指导、培训、演示演练、商务接待等）</w:t>
      </w:r>
    </w:p>
    <w:p>
      <w:pPr>
        <w:keepNext w:val="0"/>
        <w:keepLines w:val="0"/>
        <w:pageBreakBefore w:val="0"/>
        <w:widowControl w:val="0"/>
        <w:kinsoku/>
        <w:wordWrap/>
        <w:overflowPunct/>
        <w:topLinePunct w:val="0"/>
        <w:autoSpaceDE/>
        <w:autoSpaceDN/>
        <w:bidi w:val="0"/>
        <w:snapToGrid w:val="0"/>
        <w:spacing w:line="300" w:lineRule="exact"/>
        <w:ind w:firstLine="480"/>
        <w:jc w:val="left"/>
        <w:textAlignment w:val="auto"/>
        <w:rPr>
          <w:rFonts w:hint="default" w:asciiTheme="minorAscii" w:hAnsiTheme="minorAscii" w:eastAsiaTheme="minorEastAsia" w:cstheme="minorEastAsia"/>
          <w:spacing w:val="0"/>
          <w:sz w:val="24"/>
          <w:szCs w:val="24"/>
        </w:rPr>
      </w:pPr>
      <w:r>
        <w:rPr>
          <w:rFonts w:hint="default" w:asciiTheme="minorAscii" w:hAnsiTheme="minorAscii" w:eastAsiaTheme="minorEastAsia" w:cstheme="minorEastAsia"/>
          <w:spacing w:val="0"/>
          <w:sz w:val="24"/>
          <w:szCs w:val="24"/>
        </w:rPr>
        <w:t>2</w:t>
      </w:r>
      <w:r>
        <w:rPr>
          <w:rFonts w:hint="default" w:asciiTheme="minorAscii" w:hAnsiTheme="minorAscii" w:eastAsiaTheme="minorEastAsia" w:cstheme="minorEastAsia"/>
          <w:spacing w:val="0"/>
          <w:sz w:val="24"/>
          <w:szCs w:val="24"/>
          <w:lang w:eastAsia="zh-CN"/>
        </w:rPr>
        <w:t>）</w:t>
      </w:r>
      <w:r>
        <w:rPr>
          <w:rFonts w:hint="default" w:asciiTheme="minorAscii" w:hAnsiTheme="minorAscii" w:eastAsiaTheme="minorEastAsia" w:cstheme="minorEastAsia"/>
          <w:spacing w:val="0"/>
          <w:sz w:val="24"/>
          <w:szCs w:val="24"/>
        </w:rPr>
        <w:t>技术运营包括但不限于平台及应用系统等运营服务。</w:t>
      </w:r>
    </w:p>
    <w:p>
      <w:pPr>
        <w:pStyle w:val="22"/>
        <w:keepNext w:val="0"/>
        <w:keepLines w:val="0"/>
        <w:pageBreakBefore w:val="0"/>
        <w:widowControl w:val="0"/>
        <w:kinsoku/>
        <w:wordWrap/>
        <w:overflowPunct/>
        <w:topLinePunct w:val="0"/>
        <w:autoSpaceDE/>
        <w:autoSpaceDN/>
        <w:bidi w:val="0"/>
        <w:snapToGrid w:val="0"/>
        <w:spacing w:line="300" w:lineRule="exact"/>
        <w:ind w:firstLine="520"/>
        <w:jc w:val="left"/>
        <w:textAlignment w:val="auto"/>
        <w:rPr>
          <w:rFonts w:hint="default" w:asciiTheme="minorAscii" w:hAnsiTheme="minorAscii" w:eastAsiaTheme="minorEastAsia" w:cstheme="minorEastAsia"/>
          <w:snapToGrid/>
          <w:color w:val="000000"/>
          <w:spacing w:val="0"/>
          <w:kern w:val="2"/>
          <w:sz w:val="24"/>
          <w:szCs w:val="24"/>
        </w:rPr>
      </w:pPr>
      <w:r>
        <w:rPr>
          <w:rFonts w:hint="default" w:asciiTheme="minorAscii" w:hAnsiTheme="minorAscii" w:eastAsiaTheme="minorEastAsia" w:cstheme="minorEastAsia"/>
          <w:snapToGrid/>
          <w:color w:val="000000"/>
          <w:spacing w:val="0"/>
          <w:kern w:val="2"/>
          <w:sz w:val="24"/>
          <w:szCs w:val="24"/>
        </w:rPr>
        <w:t>通过构建统一的运维支撑体系，提高信息资源的运维管理水平。通过运行维护系统建设，构建集中式的服务热线、运维流程、系统监控和综合展示系统，通过系统联动，及时、准确、全面反映与掌握信息系统的运行状态，保障各系统的正常运行。</w:t>
      </w:r>
    </w:p>
    <w:p>
      <w:pPr>
        <w:pStyle w:val="22"/>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snapToGrid/>
          <w:color w:val="000000"/>
          <w:spacing w:val="0"/>
          <w:kern w:val="2"/>
          <w:sz w:val="24"/>
          <w:szCs w:val="24"/>
        </w:rPr>
      </w:pPr>
      <w:r>
        <w:rPr>
          <w:rFonts w:hint="default" w:asciiTheme="minorAscii" w:hAnsiTheme="minorAscii" w:eastAsiaTheme="minorEastAsia" w:cstheme="minorEastAsia"/>
          <w:snapToGrid/>
          <w:color w:val="000000"/>
          <w:spacing w:val="0"/>
          <w:kern w:val="2"/>
          <w:sz w:val="24"/>
          <w:szCs w:val="24"/>
        </w:rPr>
        <w:t>运行维护体系建设主要从以下三方面进行：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①</w:t>
      </w:r>
      <w:r>
        <w:rPr>
          <w:rFonts w:hint="default" w:asciiTheme="minorAscii" w:hAnsiTheme="minorAscii" w:eastAsiaTheme="minorEastAsia" w:cstheme="minorEastAsia"/>
          <w:snapToGrid w:val="0"/>
          <w:spacing w:val="0"/>
          <w:kern w:val="0"/>
          <w:sz w:val="24"/>
          <w:szCs w:val="24"/>
          <w:lang w:val="en-US" w:eastAsia="zh-CN"/>
        </w:rPr>
        <w:t xml:space="preserve"> </w:t>
      </w:r>
      <w:r>
        <w:rPr>
          <w:rFonts w:hint="default" w:asciiTheme="minorAscii" w:hAnsiTheme="minorAscii" w:eastAsiaTheme="minorEastAsia" w:cstheme="minorEastAsia"/>
          <w:snapToGrid w:val="0"/>
          <w:spacing w:val="0"/>
          <w:kern w:val="0"/>
          <w:sz w:val="24"/>
          <w:szCs w:val="24"/>
        </w:rPr>
        <w:t>运维基础—制定完善的运维服务制度、流程</w:t>
      </w:r>
    </w:p>
    <w:p>
      <w:pPr>
        <w:pStyle w:val="22"/>
        <w:keepNext w:val="0"/>
        <w:keepLines w:val="0"/>
        <w:pageBreakBefore w:val="0"/>
        <w:widowControl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snapToGrid/>
          <w:color w:val="000000"/>
          <w:spacing w:val="0"/>
          <w:kern w:val="2"/>
          <w:sz w:val="24"/>
          <w:szCs w:val="24"/>
        </w:rPr>
      </w:pPr>
      <w:r>
        <w:rPr>
          <w:rFonts w:hint="default" w:asciiTheme="minorAscii" w:hAnsiTheme="minorAscii" w:eastAsiaTheme="minorEastAsia" w:cstheme="minorEastAsia"/>
          <w:snapToGrid/>
          <w:color w:val="000000"/>
          <w:spacing w:val="0"/>
          <w:kern w:val="2"/>
          <w:sz w:val="24"/>
          <w:szCs w:val="24"/>
        </w:rPr>
        <w:t>为保障运行维护工作的质量和效率，应制定相对完善、切实可行的运行维护管理制度和规范，确定各项运维活动的标准流程和相关岗位设置等，使运维人员在制度和流程的规范和约束下协同操作。</w:t>
      </w:r>
    </w:p>
    <w:p>
      <w:pPr>
        <w:keepNext w:val="0"/>
        <w:keepLines w:val="0"/>
        <w:pageBreakBefore w:val="0"/>
        <w:numPr>
          <w:ilvl w:val="0"/>
          <w:numId w:val="0"/>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②</w:t>
      </w:r>
      <w:r>
        <w:rPr>
          <w:rFonts w:hint="default" w:asciiTheme="minorAscii" w:hAnsiTheme="minorAscii" w:eastAsiaTheme="minorEastAsia" w:cstheme="minorEastAsia"/>
          <w:snapToGrid w:val="0"/>
          <w:spacing w:val="0"/>
          <w:kern w:val="0"/>
          <w:sz w:val="24"/>
          <w:szCs w:val="24"/>
          <w:lang w:val="en-US" w:eastAsia="zh-CN"/>
        </w:rPr>
        <w:t xml:space="preserve"> </w:t>
      </w:r>
      <w:r>
        <w:rPr>
          <w:rFonts w:hint="default" w:asciiTheme="minorAscii" w:hAnsiTheme="minorAscii" w:eastAsiaTheme="minorEastAsia" w:cstheme="minorEastAsia"/>
          <w:snapToGrid w:val="0"/>
          <w:spacing w:val="0"/>
          <w:kern w:val="0"/>
          <w:sz w:val="24"/>
          <w:szCs w:val="24"/>
        </w:rPr>
        <w:t>运维保障</w:t>
      </w:r>
      <w:r>
        <w:rPr>
          <w:rFonts w:hint="default" w:asciiTheme="minorAscii" w:hAnsiTheme="minorAscii" w:eastAsiaTheme="minorEastAsia" w:cstheme="minorEastAsia"/>
          <w:snapToGrid w:val="0"/>
          <w:spacing w:val="0"/>
          <w:kern w:val="0"/>
          <w:sz w:val="24"/>
          <w:szCs w:val="24"/>
        </w:rPr>
        <w:softHyphen/>
      </w:r>
      <w:r>
        <w:rPr>
          <w:rFonts w:hint="default" w:asciiTheme="minorAscii" w:hAnsiTheme="minorAscii" w:eastAsiaTheme="minorEastAsia" w:cstheme="minorEastAsia"/>
          <w:snapToGrid w:val="0"/>
          <w:spacing w:val="0"/>
          <w:kern w:val="0"/>
          <w:sz w:val="24"/>
          <w:szCs w:val="24"/>
        </w:rPr>
        <w:t>—建立完善的运维组织体系</w:t>
      </w:r>
    </w:p>
    <w:p>
      <w:pPr>
        <w:pStyle w:val="22"/>
        <w:keepNext w:val="0"/>
        <w:keepLines w:val="0"/>
        <w:pageBreakBefore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snapToGrid/>
          <w:color w:val="000000"/>
          <w:spacing w:val="0"/>
          <w:kern w:val="2"/>
          <w:sz w:val="24"/>
          <w:szCs w:val="24"/>
        </w:rPr>
      </w:pPr>
      <w:r>
        <w:rPr>
          <w:rFonts w:hint="default" w:asciiTheme="minorAscii" w:hAnsiTheme="minorAscii" w:eastAsiaTheme="minorEastAsia" w:cstheme="minorEastAsia"/>
          <w:snapToGrid/>
          <w:color w:val="000000"/>
          <w:spacing w:val="0"/>
          <w:kern w:val="2"/>
          <w:sz w:val="24"/>
          <w:szCs w:val="24"/>
        </w:rPr>
        <w:t>运维服务的顺利实施离不开高素质的运维服务团队，因此必须建立完善的运维组织架构，明确职责职能，合理分工，不断提高运维服务团队的专业化水平，才能有效利用技术手段和工具，做好各项运维工作。</w:t>
      </w:r>
    </w:p>
    <w:p>
      <w:pPr>
        <w:keepNext w:val="0"/>
        <w:keepLines w:val="0"/>
        <w:pageBreakBefore w:val="0"/>
        <w:numPr>
          <w:ilvl w:val="0"/>
          <w:numId w:val="0"/>
        </w:numPr>
        <w:kinsoku/>
        <w:wordWrap/>
        <w:overflowPunct/>
        <w:topLinePunct w:val="0"/>
        <w:autoSpaceDE/>
        <w:autoSpaceDN/>
        <w:bidi w:val="0"/>
        <w:adjustRightInd w:val="0"/>
        <w:snapToGrid w:val="0"/>
        <w:spacing w:line="300" w:lineRule="exact"/>
        <w:ind w:left="0" w:leftChars="0" w:firstLine="480" w:firstLineChars="200"/>
        <w:jc w:val="left"/>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③</w:t>
      </w:r>
      <w:r>
        <w:rPr>
          <w:rFonts w:hint="default" w:asciiTheme="minorAscii" w:hAnsiTheme="minorAscii" w:eastAsiaTheme="minorEastAsia" w:cstheme="minorEastAsia"/>
          <w:snapToGrid w:val="0"/>
          <w:spacing w:val="0"/>
          <w:kern w:val="0"/>
          <w:sz w:val="24"/>
          <w:szCs w:val="24"/>
          <w:lang w:val="en-US" w:eastAsia="zh-CN"/>
        </w:rPr>
        <w:t xml:space="preserve"> </w:t>
      </w:r>
      <w:r>
        <w:rPr>
          <w:rFonts w:hint="default" w:asciiTheme="minorAscii" w:hAnsiTheme="minorAscii" w:eastAsiaTheme="minorEastAsia" w:cstheme="minorEastAsia"/>
          <w:snapToGrid w:val="0"/>
          <w:spacing w:val="0"/>
          <w:kern w:val="0"/>
          <w:sz w:val="24"/>
          <w:szCs w:val="24"/>
        </w:rPr>
        <w:t>技术手段—建立成熟的运维管理平台</w:t>
      </w:r>
    </w:p>
    <w:p>
      <w:pPr>
        <w:pStyle w:val="22"/>
        <w:keepNext w:val="0"/>
        <w:keepLines w:val="0"/>
        <w:pageBreakBefore w:val="0"/>
        <w:kinsoku/>
        <w:wordWrap/>
        <w:overflowPunct/>
        <w:topLinePunct w:val="0"/>
        <w:autoSpaceDE/>
        <w:autoSpaceDN/>
        <w:bidi w:val="0"/>
        <w:adjustRightInd w:val="0"/>
        <w:snapToGrid w:val="0"/>
        <w:spacing w:line="300" w:lineRule="exact"/>
        <w:ind w:left="0" w:firstLine="480" w:firstLineChars="200"/>
        <w:jc w:val="left"/>
        <w:textAlignment w:val="auto"/>
        <w:rPr>
          <w:rFonts w:hint="default" w:asciiTheme="minorAscii" w:hAnsiTheme="minorAscii" w:eastAsiaTheme="minorEastAsia" w:cstheme="minorEastAsia"/>
          <w:snapToGrid/>
          <w:color w:val="000000"/>
          <w:spacing w:val="0"/>
          <w:kern w:val="2"/>
          <w:sz w:val="24"/>
          <w:szCs w:val="24"/>
        </w:rPr>
      </w:pPr>
      <w:r>
        <w:rPr>
          <w:rFonts w:hint="default" w:asciiTheme="minorAscii" w:hAnsiTheme="minorAscii" w:eastAsiaTheme="minorEastAsia" w:cstheme="minorEastAsia"/>
          <w:snapToGrid/>
          <w:color w:val="000000"/>
          <w:spacing w:val="0"/>
          <w:kern w:val="2"/>
          <w:sz w:val="24"/>
          <w:szCs w:val="24"/>
        </w:rPr>
        <w:t>通过建立统一、集成、开放并可扩展的运维管理平台，实现对各类运维事件的全面采集、及时处理与合理分析，实现运行维护工作的智能化和高效率。</w:t>
      </w:r>
    </w:p>
    <w:p>
      <w:pPr>
        <w:pStyle w:val="5"/>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pacing w:val="0"/>
          <w:sz w:val="24"/>
          <w:szCs w:val="24"/>
        </w:rPr>
      </w:pPr>
      <w:bookmarkStart w:id="173" w:name="_Toc13803"/>
      <w:bookmarkStart w:id="174" w:name="_Toc19017"/>
      <w:bookmarkStart w:id="175" w:name="_Toc27237"/>
      <w:bookmarkStart w:id="176" w:name="_Toc3536"/>
      <w:r>
        <w:rPr>
          <w:rFonts w:hint="default" w:asciiTheme="minorAscii" w:hAnsiTheme="minorAscii" w:eastAsiaTheme="minorEastAsia" w:cstheme="minorEastAsia"/>
          <w:spacing w:val="0"/>
          <w:sz w:val="24"/>
          <w:szCs w:val="24"/>
        </w:rPr>
        <w:t>运维服务设计</w:t>
      </w:r>
      <w:bookmarkEnd w:id="173"/>
      <w:bookmarkEnd w:id="174"/>
      <w:bookmarkEnd w:id="175"/>
      <w:bookmarkEnd w:id="176"/>
    </w:p>
    <w:p>
      <w:pPr>
        <w:pStyle w:val="7"/>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pacing w:val="0"/>
          <w:sz w:val="24"/>
          <w:szCs w:val="24"/>
        </w:rPr>
      </w:pPr>
      <w:bookmarkStart w:id="177" w:name="_Toc19957"/>
      <w:bookmarkStart w:id="178" w:name="_Toc7418"/>
      <w:bookmarkStart w:id="179" w:name="_Toc13149"/>
      <w:bookmarkStart w:id="180" w:name="_Toc19350"/>
      <w:bookmarkStart w:id="181" w:name="_Toc28339"/>
      <w:bookmarkStart w:id="182" w:name="_Toc14040"/>
      <w:bookmarkStart w:id="183" w:name="_Toc28876"/>
      <w:bookmarkStart w:id="184" w:name="_Toc17187"/>
      <w:bookmarkStart w:id="185" w:name="_Toc20777"/>
      <w:bookmarkStart w:id="186" w:name="_Toc20043"/>
      <w:r>
        <w:rPr>
          <w:rFonts w:hint="default" w:asciiTheme="minorAscii" w:hAnsiTheme="minorAscii" w:eastAsiaTheme="minorEastAsia" w:cstheme="minorEastAsia"/>
          <w:spacing w:val="0"/>
          <w:sz w:val="24"/>
          <w:szCs w:val="24"/>
        </w:rPr>
        <w:t>运行维护保障方案概述</w:t>
      </w:r>
      <w:bookmarkEnd w:id="177"/>
      <w:bookmarkEnd w:id="178"/>
      <w:bookmarkEnd w:id="179"/>
      <w:bookmarkEnd w:id="180"/>
      <w:bookmarkEnd w:id="181"/>
      <w:bookmarkEnd w:id="182"/>
      <w:bookmarkEnd w:id="183"/>
      <w:bookmarkEnd w:id="184"/>
      <w:bookmarkEnd w:id="185"/>
      <w:bookmarkEnd w:id="186"/>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lang w:val="en-US" w:eastAsia="zh-CN"/>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本项目上线运行后，为确保平台及前端硬件可靠、高效、持续、安全的运行，需对本项目进行持续的运行维护。</w:t>
      </w:r>
      <w:r>
        <w:rPr>
          <w:rFonts w:hint="default" w:asciiTheme="minorAscii" w:hAnsiTheme="minorAscii" w:eastAsiaTheme="minorEastAsia" w:cstheme="minorEastAsia"/>
          <w:b/>
          <w:bCs/>
          <w:color w:val="000000" w:themeColor="text1"/>
          <w:spacing w:val="0"/>
          <w:sz w:val="24"/>
          <w:szCs w:val="24"/>
          <w:u w:val="wave"/>
          <w:lang w:val="en-US" w:eastAsia="zh-CN"/>
          <w14:textFill>
            <w14:solidFill>
              <w14:schemeClr w14:val="tx1"/>
            </w14:solidFill>
          </w14:textFill>
        </w:rPr>
        <w:t>鉴于项目规模较大，建议要求供应商提供服务能力证明。</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配置服务方针对硬件、软件、数据管理、安全管理等方面的运行维护提供服务，包括但不限于运行状态监控服务、7×24小时维护咨询服务、故障响应服务、安全保障服务、配置信息维护服务、可用性情况及健康状况性能指标、系统升级服务等。</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服务期运维团队在白龙湖风景名胜区管理局的统一指导下，按照本方案提出的运行维护内容与要求、运行维护服务流程、运行维护服务管理制度、应急服务响应措施，有序开展平台的运维服务。</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服务方提供培训服务，按照培训要求制定培训教材，对各部门进行集中培训，应依据问题与需求，定期进行专题培训，平台上线后，将建立QQ和微信交流群，培训人员应在交流群中进行技术答疑。</w:t>
      </w:r>
    </w:p>
    <w:p>
      <w:pPr>
        <w:pStyle w:val="7"/>
        <w:pageBreakBefore w:val="0"/>
        <w:kinsoku/>
        <w:wordWrap/>
        <w:overflowPunct/>
        <w:topLinePunct w:val="0"/>
        <w:autoSpaceDE/>
        <w:autoSpaceDN/>
        <w:bidi w:val="0"/>
        <w:spacing w:line="300" w:lineRule="exact"/>
        <w:jc w:val="left"/>
        <w:rPr>
          <w:rFonts w:hint="default" w:asciiTheme="minorAscii" w:hAnsiTheme="minorAscii" w:eastAsiaTheme="minorEastAsia" w:cstheme="minorEastAsia"/>
          <w:spacing w:val="0"/>
          <w:sz w:val="24"/>
          <w:szCs w:val="24"/>
        </w:rPr>
      </w:pPr>
      <w:bookmarkStart w:id="187" w:name="_Toc26039"/>
      <w:bookmarkStart w:id="188" w:name="_Toc27838"/>
      <w:bookmarkStart w:id="189" w:name="_Toc3621"/>
      <w:bookmarkStart w:id="190" w:name="_Toc10034"/>
      <w:bookmarkStart w:id="191" w:name="_Toc14446"/>
      <w:bookmarkStart w:id="192" w:name="_Toc20963"/>
      <w:bookmarkStart w:id="193" w:name="_Toc13258"/>
      <w:bookmarkStart w:id="194" w:name="_Toc30522"/>
      <w:bookmarkStart w:id="195" w:name="_Toc3965"/>
      <w:r>
        <w:rPr>
          <w:rFonts w:hint="default" w:asciiTheme="minorAscii" w:hAnsiTheme="minorAscii" w:eastAsiaTheme="minorEastAsia" w:cstheme="minorEastAsia"/>
          <w:spacing w:val="0"/>
          <w:sz w:val="24"/>
          <w:szCs w:val="24"/>
        </w:rPr>
        <w:t>运行维护目标</w:t>
      </w:r>
      <w:bookmarkEnd w:id="187"/>
      <w:bookmarkEnd w:id="188"/>
      <w:bookmarkEnd w:id="189"/>
      <w:bookmarkEnd w:id="190"/>
      <w:bookmarkEnd w:id="191"/>
      <w:bookmarkEnd w:id="192"/>
      <w:bookmarkEnd w:id="193"/>
      <w:bookmarkEnd w:id="194"/>
      <w:bookmarkEnd w:id="195"/>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本</w:t>
      </w:r>
      <w:r>
        <w:rPr>
          <w:rFonts w:hint="default" w:asciiTheme="minorAscii" w:hAnsiTheme="minorAscii" w:eastAsiaTheme="minorEastAsia" w:cstheme="minorEastAsia"/>
          <w:color w:val="000000" w:themeColor="text1"/>
          <w:spacing w:val="-6"/>
          <w:sz w:val="24"/>
          <w:szCs w:val="24"/>
          <w14:textFill>
            <w14:solidFill>
              <w14:schemeClr w14:val="tx1"/>
            </w14:solidFill>
          </w14:textFill>
        </w:rPr>
        <w:t>项目的运行维护服务的目标是通过对硬件、软件、数据管理、安全管理等方面的运行维护和安全防范服务，确保综管服平台可靠、高效、持续、安全地运行。</w:t>
      </w:r>
    </w:p>
    <w:p>
      <w:pPr>
        <w:pStyle w:val="7"/>
        <w:keepNext w:val="0"/>
        <w:keepLines w:val="0"/>
        <w:pageBreakBefore w:val="0"/>
        <w:widowControl w:val="0"/>
        <w:kinsoku/>
        <w:wordWrap/>
        <w:overflowPunct/>
        <w:topLinePunct w:val="0"/>
        <w:autoSpaceDE/>
        <w:autoSpaceDN/>
        <w:bidi w:val="0"/>
        <w:snapToGrid w:val="0"/>
        <w:spacing w:line="300" w:lineRule="exact"/>
        <w:jc w:val="left"/>
        <w:textAlignment w:val="auto"/>
        <w:rPr>
          <w:rFonts w:hint="default" w:asciiTheme="minorAscii" w:hAnsiTheme="minorAscii" w:eastAsiaTheme="minorEastAsia" w:cstheme="minorEastAsia"/>
          <w:spacing w:val="0"/>
          <w:sz w:val="24"/>
          <w:szCs w:val="24"/>
        </w:rPr>
      </w:pPr>
      <w:bookmarkStart w:id="196" w:name="_Toc5973"/>
      <w:bookmarkStart w:id="197" w:name="_Toc32741"/>
      <w:bookmarkStart w:id="198" w:name="_Toc26590"/>
      <w:bookmarkStart w:id="199" w:name="_Toc29622"/>
      <w:bookmarkStart w:id="200" w:name="_Toc16218"/>
      <w:bookmarkStart w:id="201" w:name="_Toc23842"/>
      <w:bookmarkStart w:id="202" w:name="_Toc14633"/>
      <w:bookmarkStart w:id="203" w:name="_Toc18299"/>
      <w:bookmarkStart w:id="204" w:name="_Toc24352"/>
      <w:bookmarkStart w:id="205" w:name="_Toc21613"/>
      <w:r>
        <w:rPr>
          <w:rFonts w:hint="default" w:asciiTheme="minorAscii" w:hAnsiTheme="minorAscii" w:eastAsiaTheme="minorEastAsia" w:cstheme="minorEastAsia"/>
          <w:spacing w:val="0"/>
          <w:sz w:val="24"/>
          <w:szCs w:val="24"/>
        </w:rPr>
        <w:t>运行维护制度</w:t>
      </w:r>
      <w:bookmarkEnd w:id="196"/>
      <w:bookmarkEnd w:id="197"/>
      <w:bookmarkEnd w:id="198"/>
      <w:bookmarkEnd w:id="199"/>
      <w:bookmarkEnd w:id="200"/>
      <w:bookmarkEnd w:id="201"/>
      <w:bookmarkEnd w:id="202"/>
      <w:bookmarkEnd w:id="203"/>
      <w:bookmarkEnd w:id="204"/>
      <w:bookmarkEnd w:id="205"/>
    </w:p>
    <w:p>
      <w:pPr>
        <w:keepNext w:val="0"/>
        <w:keepLines w:val="0"/>
        <w:pageBreakBefore w:val="0"/>
        <w:widowControl w:val="0"/>
        <w:kinsoku/>
        <w:wordWrap/>
        <w:overflowPunct/>
        <w:topLinePunct w:val="0"/>
        <w:autoSpaceDE/>
        <w:autoSpaceDN/>
        <w:bidi w:val="0"/>
        <w:adjustRightInd w:val="0"/>
        <w:snapToGrid w:val="0"/>
        <w:spacing w:line="300" w:lineRule="exact"/>
        <w:ind w:firstLine="480"/>
        <w:jc w:val="left"/>
        <w:textAlignment w:val="auto"/>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为确保运行维护工作正常、有序、高质地进行，必须针对运行维护的管理流程和内容，制定相应的运行维护管理制度，实现各项工作的规范化管理。运行维护管理制度可分为：网络管理制度、系统和应用管理制度、安全管理制度、存储备份管理制度、故障管理制度、人员管理制度和质量考核制度等。</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（1）网络管理制度</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包括网络的准入管理制度、网络的配置管理制度、网络的运行/监控管理制度等。</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（2）系统和应用管理制度</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包括对数据库、中间件、应用系统的配置管理制度、运行/监控管理制度、数据管理制度等。</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（3）安全管理制度</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包括网络、数据库、中间件、应用软件、数据的安全管理制度及安全事故应急处理制度。</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（4）存储备份管理制度</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包括备份数据的管理制度和备份设备的管理制度。</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（5）故障管理制度</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包括对故障处理过程的管理制度、故障处理流程的变更管理制度、故障信息利用的管理制度及重大故障的应急管理制度等。</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（6）人员管理制度</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包括对运行维护人员的能级管理制度、奖惩制度、考核制度、外部人力资源使用的管理制度等。</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（7）质量考核制度</w:t>
      </w:r>
    </w:p>
    <w:p>
      <w:pPr>
        <w:pageBreakBefore w:val="0"/>
        <w:kinsoku/>
        <w:wordWrap/>
        <w:overflowPunct/>
        <w:topLinePunct w:val="0"/>
        <w:autoSpaceDE/>
        <w:autoSpaceDN/>
        <w:bidi w:val="0"/>
        <w:adjustRightInd w:val="0"/>
        <w:spacing w:line="300" w:lineRule="exact"/>
        <w:ind w:firstLine="480"/>
        <w:jc w:val="left"/>
        <w:rPr>
          <w:rFonts w:hint="default" w:asciiTheme="minorAscii" w:hAnsiTheme="minorAscii" w:eastAsiaTheme="minorEastAsia" w:cstheme="minorEastAsia"/>
          <w:color w:val="000000" w:themeColor="text1"/>
          <w:spacing w:val="0"/>
          <w:sz w:val="24"/>
          <w:szCs w:val="24"/>
          <w14:textFill>
            <w14:solidFill>
              <w14:schemeClr w14:val="tx1"/>
            </w14:solidFill>
          </w14:textFill>
        </w:rPr>
      </w:pPr>
      <w:r>
        <w:rPr>
          <w:rFonts w:hint="default" w:asciiTheme="minorAscii" w:hAnsiTheme="minorAscii" w:eastAsiaTheme="minorEastAsia" w:cstheme="minorEastAsia"/>
          <w:color w:val="000000" w:themeColor="text1"/>
          <w:spacing w:val="0"/>
          <w:sz w:val="24"/>
          <w:szCs w:val="24"/>
          <w14:textFill>
            <w14:solidFill>
              <w14:schemeClr w14:val="tx1"/>
            </w14:solidFill>
          </w14:textFill>
        </w:rPr>
        <w:t>制定相关制度，对以上各类制度的执行情况进行考核。</w:t>
      </w:r>
    </w:p>
    <w:p>
      <w:pPr>
        <w:pStyle w:val="7"/>
        <w:rPr>
          <w:rFonts w:hint="default" w:asciiTheme="minorAscii" w:hAnsiTheme="minorAscii" w:eastAsiaTheme="minorEastAsia" w:cstheme="minorEastAsia"/>
          <w:sz w:val="24"/>
          <w:szCs w:val="24"/>
        </w:rPr>
      </w:pPr>
      <w:bookmarkStart w:id="206" w:name="_Toc327"/>
      <w:bookmarkStart w:id="207" w:name="_Toc32212"/>
      <w:r>
        <w:rPr>
          <w:rFonts w:hint="default" w:asciiTheme="minorAscii" w:hAnsiTheme="minorAscii" w:eastAsiaTheme="minorEastAsia" w:cstheme="minorEastAsia"/>
          <w:sz w:val="24"/>
          <w:szCs w:val="24"/>
        </w:rPr>
        <w:t>运维内容及服务事项</w:t>
      </w:r>
      <w:bookmarkEnd w:id="206"/>
      <w:bookmarkEnd w:id="207"/>
    </w:p>
    <w:tbl>
      <w:tblPr>
        <w:tblStyle w:val="18"/>
        <w:tblW w:w="4992" w:type="pct"/>
        <w:tblInd w:w="109" w:type="dxa"/>
        <w:tblLayout w:type="fixed"/>
        <w:tblCellMar>
          <w:top w:w="0" w:type="dxa"/>
          <w:left w:w="108" w:type="dxa"/>
          <w:bottom w:w="0" w:type="dxa"/>
          <w:right w:w="108" w:type="dxa"/>
        </w:tblCellMar>
      </w:tblPr>
      <w:tblGrid>
        <w:gridCol w:w="673"/>
        <w:gridCol w:w="1294"/>
        <w:gridCol w:w="1294"/>
        <w:gridCol w:w="3292"/>
        <w:gridCol w:w="969"/>
        <w:gridCol w:w="1526"/>
      </w:tblGrid>
      <w:tr>
        <w:tblPrEx>
          <w:tblCellMar>
            <w:top w:w="0" w:type="dxa"/>
            <w:left w:w="108" w:type="dxa"/>
            <w:bottom w:w="0" w:type="dxa"/>
            <w:right w:w="108" w:type="dxa"/>
          </w:tblCellMar>
        </w:tblPrEx>
        <w:trPr>
          <w:trHeight w:val="700" w:hRule="atLeast"/>
          <w:tblHeader/>
        </w:trPr>
        <w:tc>
          <w:tcPr>
            <w:tcW w:w="37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序号</w:t>
            </w:r>
          </w:p>
        </w:tc>
        <w:tc>
          <w:tcPr>
            <w:tcW w:w="7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服务大类</w:t>
            </w:r>
          </w:p>
        </w:tc>
        <w:tc>
          <w:tcPr>
            <w:tcW w:w="7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服务小类</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服务项</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主要服务模式</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服务频率</w:t>
            </w:r>
          </w:p>
        </w:tc>
      </w:tr>
      <w:tr>
        <w:tblPrEx>
          <w:tblCellMar>
            <w:top w:w="0" w:type="dxa"/>
            <w:left w:w="108" w:type="dxa"/>
            <w:bottom w:w="0" w:type="dxa"/>
            <w:right w:w="108" w:type="dxa"/>
          </w:tblCellMar>
        </w:tblPrEx>
        <w:trPr>
          <w:trHeight w:val="799" w:hRule="atLeast"/>
        </w:trPr>
        <w:tc>
          <w:tcPr>
            <w:tcW w:w="37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1</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硬件系统运维服务</w:t>
            </w:r>
          </w:p>
        </w:tc>
        <w:tc>
          <w:tcPr>
            <w:tcW w:w="7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计算、存储、网络等</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由政务云云服务商提供运维服务</w:t>
            </w:r>
          </w:p>
        </w:tc>
        <w:tc>
          <w:tcPr>
            <w:tcW w:w="53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前端感知设备</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日常巡检、问题排查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设备维护</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设</w:t>
            </w:r>
            <w:r>
              <w:rPr>
                <w:rFonts w:hint="default" w:asciiTheme="minorAscii" w:hAnsiTheme="minorAscii" w:eastAsiaTheme="minorEastAsia" w:cstheme="minorEastAsia"/>
                <w:color w:val="000000"/>
                <w:kern w:val="0"/>
                <w:sz w:val="18"/>
                <w:szCs w:val="18"/>
                <w:lang w:val="en-US" w:eastAsia="zh-CN" w:bidi="ar"/>
              </w:rPr>
              <w:t>备</w:t>
            </w:r>
            <w:r>
              <w:rPr>
                <w:rFonts w:hint="default" w:asciiTheme="minorAscii" w:hAnsiTheme="minorAscii" w:eastAsiaTheme="minorEastAsia" w:cstheme="minorEastAsia"/>
                <w:color w:val="000000"/>
                <w:kern w:val="0"/>
                <w:sz w:val="18"/>
                <w:szCs w:val="18"/>
                <w:lang w:bidi="ar"/>
              </w:rPr>
              <w:t>更换</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线路排查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记录与报告</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94" w:hRule="atLeast"/>
        </w:trPr>
        <w:tc>
          <w:tcPr>
            <w:tcW w:w="37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2</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软件系统运维服务</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数据库系统维护</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数据库实例状态检查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35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数据库表空间使用情况</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35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监控查看数据库的连接情况</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35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表空间使用情况和性能检查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35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数据库告警日志检查分析</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35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数据库备份检查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中间件维护</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数据维护</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数据备份</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395"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系统日常维护</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683"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中间件升级而对应用软件进行适应性更新与调测服务</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23"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中间件维护操作手册及应急流程更新</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r>
      <w:tr>
        <w:tblPrEx>
          <w:tblCellMar>
            <w:top w:w="0" w:type="dxa"/>
            <w:left w:w="108" w:type="dxa"/>
            <w:bottom w:w="0" w:type="dxa"/>
            <w:right w:w="108" w:type="dxa"/>
          </w:tblCellMar>
        </w:tblPrEx>
        <w:trPr>
          <w:trHeight w:val="407"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应用系统运维</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业务数据维护</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417"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业务数据备份</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407"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业务系统日常维护</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407"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软件更新服务</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649"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对业务管理系统健康状态检查与分析报告</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06"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用户管理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71" w:hRule="atLeast"/>
        </w:trPr>
        <w:tc>
          <w:tcPr>
            <w:tcW w:w="37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3</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基础环境日常运维服务</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应急指挥中心运维</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设备维护</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43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日常巡检、问题排查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39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联调测试</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4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运行过程保障</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887"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本地机房及设备间运维</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设施设备（空调系统、UPS系统、环控系统、新风系统、灯光系统和其他系统）维护和保养</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629"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所有设施设备详细的维保服务内容和方案</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7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提供所有设施设备的例行保养检查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70"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提供易损耗部件的更新、更换服务</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9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提供综合布线的日常维护工作</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666" w:hRule="atLeast"/>
        </w:trPr>
        <w:tc>
          <w:tcPr>
            <w:tcW w:w="37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4</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服务台</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资产管理</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硬件设备型号、数量、版本等信息统计记录</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按需更新</w:t>
            </w:r>
          </w:p>
        </w:tc>
      </w:tr>
      <w:tr>
        <w:tblPrEx>
          <w:tblCellMar>
            <w:top w:w="0" w:type="dxa"/>
            <w:left w:w="108" w:type="dxa"/>
            <w:bottom w:w="0" w:type="dxa"/>
            <w:right w:w="108" w:type="dxa"/>
          </w:tblCellMar>
        </w:tblPrEx>
        <w:trPr>
          <w:trHeight w:val="628"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软件产品型号、版本和补丁等信息统计记录</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按需更新</w:t>
            </w:r>
          </w:p>
        </w:tc>
      </w:tr>
      <w:tr>
        <w:tblPrEx>
          <w:tblCellMar>
            <w:top w:w="0" w:type="dxa"/>
            <w:left w:w="108" w:type="dxa"/>
            <w:bottom w:w="0" w:type="dxa"/>
            <w:right w:w="108" w:type="dxa"/>
          </w:tblCellMar>
        </w:tblPrEx>
        <w:trPr>
          <w:trHeight w:val="689"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网络结构、网络路由、网络IP地址统计记录</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按需更新</w:t>
            </w:r>
          </w:p>
        </w:tc>
      </w:tr>
      <w:tr>
        <w:tblPrEx>
          <w:tblCellMar>
            <w:top w:w="0" w:type="dxa"/>
            <w:left w:w="108" w:type="dxa"/>
            <w:bottom w:w="0" w:type="dxa"/>
            <w:right w:w="108" w:type="dxa"/>
          </w:tblCellMar>
        </w:tblPrEx>
        <w:trPr>
          <w:trHeight w:val="43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综合布线系统结构图的绘制</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按需更新</w:t>
            </w:r>
          </w:p>
        </w:tc>
      </w:tr>
      <w:tr>
        <w:tblPrEx>
          <w:tblCellMar>
            <w:top w:w="0" w:type="dxa"/>
            <w:left w:w="108" w:type="dxa"/>
            <w:bottom w:w="0" w:type="dxa"/>
            <w:right w:w="108" w:type="dxa"/>
          </w:tblCellMar>
        </w:tblPrEx>
        <w:trPr>
          <w:trHeight w:val="43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其它附属设备的统计记录</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按需更新</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运维服务热线</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接线服务</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事件登记</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事件分发</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事件响应回复</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事件统计</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日常值守</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运维平台可视化值守</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预警监测</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事件处理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每日</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变更管理</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问题管理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变更管理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7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发布管理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6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资源管理</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人员管理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7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工具管理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8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物资管理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8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原厂服务管理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20" w:hRule="atLeast"/>
        </w:trPr>
        <w:tc>
          <w:tcPr>
            <w:tcW w:w="37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5</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应急服务</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应急事前</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应急事件分级</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447"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应急事件按分级进行预案编制</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39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应急事中</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应急事件响应</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按实际响应</w:t>
            </w:r>
          </w:p>
        </w:tc>
      </w:tr>
      <w:tr>
        <w:tblPrEx>
          <w:tblCellMar>
            <w:top w:w="0" w:type="dxa"/>
            <w:left w:w="108" w:type="dxa"/>
            <w:bottom w:w="0" w:type="dxa"/>
            <w:right w:w="108" w:type="dxa"/>
          </w:tblCellMar>
        </w:tblPrEx>
        <w:trPr>
          <w:trHeight w:val="39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应急事件处理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按实际响应</w:t>
            </w:r>
          </w:p>
        </w:tc>
      </w:tr>
      <w:tr>
        <w:tblPrEx>
          <w:tblCellMar>
            <w:top w:w="0" w:type="dxa"/>
            <w:left w:w="108" w:type="dxa"/>
            <w:bottom w:w="0" w:type="dxa"/>
            <w:right w:w="108" w:type="dxa"/>
          </w:tblCellMar>
        </w:tblPrEx>
        <w:trPr>
          <w:trHeight w:val="40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应急事后</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应急事件分析总结、评价</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按实际响应</w:t>
            </w:r>
          </w:p>
        </w:tc>
      </w:tr>
      <w:tr>
        <w:tblPrEx>
          <w:tblCellMar>
            <w:top w:w="0" w:type="dxa"/>
            <w:left w:w="108" w:type="dxa"/>
            <w:bottom w:w="0" w:type="dxa"/>
            <w:right w:w="108" w:type="dxa"/>
          </w:tblCellMar>
        </w:tblPrEx>
        <w:trPr>
          <w:trHeight w:val="41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应急事件加固处理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按实际响应</w:t>
            </w:r>
          </w:p>
        </w:tc>
      </w:tr>
      <w:tr>
        <w:tblPrEx>
          <w:tblCellMar>
            <w:top w:w="0" w:type="dxa"/>
            <w:left w:w="108" w:type="dxa"/>
            <w:bottom w:w="0" w:type="dxa"/>
            <w:right w:w="108" w:type="dxa"/>
          </w:tblCellMar>
        </w:tblPrEx>
        <w:trPr>
          <w:trHeight w:val="418" w:hRule="atLeast"/>
        </w:trPr>
        <w:tc>
          <w:tcPr>
            <w:tcW w:w="37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6</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培训及演练</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培训</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培训预案编制</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418"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培训教材编制</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418"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现场培训组织</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418"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培训考核和满意度调查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35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应急演练</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应急预案编制</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45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应急教材编制</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44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应急演练组织</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46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应急演练考核和满意度调查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按要求编制</w:t>
            </w:r>
          </w:p>
        </w:tc>
      </w:tr>
      <w:tr>
        <w:tblPrEx>
          <w:tblCellMar>
            <w:top w:w="0" w:type="dxa"/>
            <w:left w:w="108" w:type="dxa"/>
            <w:bottom w:w="0" w:type="dxa"/>
            <w:right w:w="108" w:type="dxa"/>
          </w:tblCellMar>
        </w:tblPrEx>
        <w:trPr>
          <w:trHeight w:val="481" w:hRule="atLeast"/>
        </w:trPr>
        <w:tc>
          <w:tcPr>
            <w:tcW w:w="37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7</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信息安全管理</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安全支持</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特殊环境数据导入/导出</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5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访问控制权限管理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安全维护服务</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风险评估</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每月一次</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安全加固</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每月一次</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应急响应</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36"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安全巡检</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每天一次</w:t>
            </w:r>
          </w:p>
        </w:tc>
      </w:tr>
      <w:tr>
        <w:tblPrEx>
          <w:tblCellMar>
            <w:top w:w="0" w:type="dxa"/>
            <w:left w:w="108" w:type="dxa"/>
            <w:bottom w:w="0" w:type="dxa"/>
            <w:right w:w="108" w:type="dxa"/>
          </w:tblCellMar>
        </w:tblPrEx>
        <w:trPr>
          <w:trHeight w:val="394"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安全监控</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每天</w:t>
            </w:r>
          </w:p>
        </w:tc>
      </w:tr>
      <w:tr>
        <w:tblPrEx>
          <w:tblCellMar>
            <w:top w:w="0" w:type="dxa"/>
            <w:left w:w="108" w:type="dxa"/>
            <w:bottom w:w="0" w:type="dxa"/>
            <w:right w:w="108" w:type="dxa"/>
          </w:tblCellMar>
        </w:tblPrEx>
        <w:trPr>
          <w:trHeight w:val="436"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安全通告</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61" w:hRule="atLeast"/>
        </w:trPr>
        <w:tc>
          <w:tcPr>
            <w:tcW w:w="37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8</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管理类技术支持</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办公自动化支持</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ITIL咨询管理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68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财务、人力、审计专用系统的技术支持</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503"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业务类技术支持</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研发相关系统环境需求分析</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503"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研发相关系统环境搭建</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503"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技术选型、测试</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503"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容量规划管理</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按需</w:t>
            </w:r>
          </w:p>
        </w:tc>
      </w:tr>
      <w:tr>
        <w:tblPrEx>
          <w:tblCellMar>
            <w:top w:w="0" w:type="dxa"/>
            <w:left w:w="108" w:type="dxa"/>
            <w:bottom w:w="0" w:type="dxa"/>
            <w:right w:w="108" w:type="dxa"/>
          </w:tblCellMar>
        </w:tblPrEx>
        <w:trPr>
          <w:trHeight w:val="481" w:hRule="atLeast"/>
        </w:trPr>
        <w:tc>
          <w:tcPr>
            <w:tcW w:w="37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9</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运维报表</w:t>
            </w:r>
          </w:p>
        </w:tc>
        <w:tc>
          <w:tcPr>
            <w:tcW w:w="715"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服务报告</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服务台关键KPI</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每月</w:t>
            </w:r>
          </w:p>
        </w:tc>
      </w:tr>
      <w:tr>
        <w:tblPrEx>
          <w:tblCellMar>
            <w:top w:w="0" w:type="dxa"/>
            <w:left w:w="108" w:type="dxa"/>
            <w:bottom w:w="0" w:type="dxa"/>
            <w:right w:w="108" w:type="dxa"/>
          </w:tblCellMar>
        </w:tblPrEx>
        <w:trPr>
          <w:trHeight w:val="481"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客户服务月报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每月</w:t>
            </w:r>
          </w:p>
        </w:tc>
      </w:tr>
      <w:tr>
        <w:tblPrEx>
          <w:tblCellMar>
            <w:top w:w="0" w:type="dxa"/>
            <w:left w:w="108" w:type="dxa"/>
            <w:bottom w:w="0" w:type="dxa"/>
            <w:right w:w="108" w:type="dxa"/>
          </w:tblCellMar>
        </w:tblPrEx>
        <w:trPr>
          <w:trHeight w:val="625"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基础环境报告</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基础环境运行分析月报告</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每月</w:t>
            </w:r>
          </w:p>
        </w:tc>
      </w:tr>
      <w:tr>
        <w:tblPrEx>
          <w:tblCellMar>
            <w:top w:w="0" w:type="dxa"/>
            <w:left w:w="108" w:type="dxa"/>
            <w:bottom w:w="0" w:type="dxa"/>
            <w:right w:w="108" w:type="dxa"/>
          </w:tblCellMar>
        </w:tblPrEx>
        <w:trPr>
          <w:trHeight w:val="508" w:hRule="atLeast"/>
        </w:trPr>
        <w:tc>
          <w:tcPr>
            <w:tcW w:w="37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1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运维报告</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left"/>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运维月报</w:t>
            </w:r>
          </w:p>
        </w:tc>
        <w:tc>
          <w:tcPr>
            <w:tcW w:w="53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现场</w:t>
            </w:r>
          </w:p>
        </w:tc>
        <w:tc>
          <w:tcPr>
            <w:tcW w:w="843"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每月</w:t>
            </w:r>
          </w:p>
        </w:tc>
      </w:tr>
    </w:tbl>
    <w:p>
      <w:pPr>
        <w:pStyle w:val="5"/>
        <w:keepNext/>
        <w:keepLines/>
        <w:pageBreakBefore w:val="0"/>
        <w:widowControl w:val="0"/>
        <w:kinsoku/>
        <w:wordWrap/>
        <w:overflowPunct/>
        <w:topLinePunct w:val="0"/>
        <w:autoSpaceDE/>
        <w:autoSpaceDN/>
        <w:bidi w:val="0"/>
        <w:adjustRightInd/>
        <w:snapToGrid w:val="0"/>
        <w:spacing w:before="499" w:beforeLines="150"/>
        <w:textAlignment w:val="auto"/>
        <w:rPr>
          <w:rFonts w:hint="default" w:asciiTheme="minorAscii" w:hAnsiTheme="minorAscii" w:eastAsiaTheme="minorEastAsia" w:cstheme="minorEastAsia"/>
          <w:sz w:val="24"/>
          <w:szCs w:val="24"/>
        </w:rPr>
      </w:pPr>
      <w:bookmarkStart w:id="208" w:name="_Toc3378"/>
      <w:bookmarkStart w:id="209" w:name="_Toc15387"/>
      <w:bookmarkStart w:id="210" w:name="_Toc995"/>
      <w:bookmarkStart w:id="211" w:name="_Toc30832"/>
      <w:bookmarkStart w:id="212" w:name="_Toc24305"/>
      <w:bookmarkStart w:id="213" w:name="_Toc29105"/>
      <w:bookmarkStart w:id="214" w:name="_Toc24549"/>
      <w:bookmarkStart w:id="215" w:name="_Toc25169"/>
      <w:bookmarkStart w:id="216" w:name="_Toc23586"/>
      <w:bookmarkStart w:id="217" w:name="_Toc26401"/>
      <w:r>
        <w:rPr>
          <w:rFonts w:hint="default" w:asciiTheme="minorAscii" w:hAnsiTheme="minorAscii" w:eastAsiaTheme="minorEastAsia" w:cstheme="minorEastAsia"/>
          <w:sz w:val="24"/>
          <w:szCs w:val="24"/>
        </w:rPr>
        <w:t>运行维护服务流程</w:t>
      </w:r>
      <w:bookmarkEnd w:id="208"/>
      <w:bookmarkEnd w:id="209"/>
      <w:bookmarkEnd w:id="210"/>
      <w:bookmarkEnd w:id="211"/>
      <w:bookmarkEnd w:id="212"/>
      <w:bookmarkEnd w:id="213"/>
      <w:bookmarkEnd w:id="214"/>
      <w:bookmarkEnd w:id="215"/>
      <w:bookmarkEnd w:id="216"/>
      <w:bookmarkEnd w:id="217"/>
    </w:p>
    <w:p>
      <w:pPr>
        <w:ind w:firstLine="480"/>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本项目运维服务方式为两种：一种为技术人员现场值守，另一种是定期巡检结合故障现场服务。</w:t>
      </w:r>
    </w:p>
    <w:p>
      <w:pPr>
        <w:ind w:firstLine="480"/>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（1）技术人员现场值守运行维护服务的基本操作流程如下图所示：</w:t>
      </w:r>
    </w:p>
    <w:p>
      <w:pPr>
        <w:ind w:left="0" w:leftChars="0" w:firstLine="0" w:firstLineChars="0"/>
        <w:jc w:val="center"/>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drawing>
          <wp:inline distT="0" distB="0" distL="114300" distR="114300">
            <wp:extent cx="2125345" cy="4493260"/>
            <wp:effectExtent l="0" t="0" r="8255" b="0"/>
            <wp:docPr id="10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2"/>
                    <pic:cNvPicPr>
                      <a:picLocks noChangeAspect="1"/>
                    </pic:cNvPicPr>
                  </pic:nvPicPr>
                  <pic:blipFill>
                    <a:blip r:embed="rId65">
                      <a:lum bright="-6000"/>
                    </a:blip>
                    <a:stretch>
                      <a:fillRect/>
                    </a:stretch>
                  </pic:blipFill>
                  <pic:spPr>
                    <a:xfrm>
                      <a:off x="0" y="0"/>
                      <a:ext cx="2125345" cy="4493260"/>
                    </a:xfrm>
                    <a:prstGeom prst="rect">
                      <a:avLst/>
                    </a:prstGeom>
                    <a:noFill/>
                    <a:ln>
                      <a:noFill/>
                    </a:ln>
                  </pic:spPr>
                </pic:pic>
              </a:graphicData>
            </a:graphic>
          </wp:inline>
        </w:drawing>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167" w:afterLines="50"/>
        <w:ind w:leftChars="0"/>
        <w:jc w:val="center"/>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 xml:space="preserve">图57 </w:t>
      </w:r>
      <w:r>
        <w:rPr>
          <w:rFonts w:hint="default" w:asciiTheme="minorAscii" w:hAnsiTheme="minorAscii" w:eastAsiaTheme="minorEastAsia" w:cstheme="minorEastAsia"/>
          <w:b/>
          <w:bCs/>
          <w:sz w:val="24"/>
          <w:szCs w:val="24"/>
        </w:rPr>
        <w:t>技术人员现场值守运行维护服务的基本操作流程图</w:t>
      </w:r>
    </w:p>
    <w:p>
      <w:pPr>
        <w:ind w:firstLine="480"/>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（2）定期巡检结合故障现场运行维护服务的基本操作流程如下图所示：</w:t>
      </w:r>
    </w:p>
    <w:p>
      <w:pPr>
        <w:ind w:left="0" w:leftChars="0" w:firstLine="0" w:firstLineChars="0"/>
        <w:jc w:val="center"/>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drawing>
          <wp:inline distT="0" distB="0" distL="114300" distR="114300">
            <wp:extent cx="3253105" cy="3308350"/>
            <wp:effectExtent l="0" t="0" r="8255" b="13970"/>
            <wp:docPr id="1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
                    <pic:cNvPicPr>
                      <a:picLocks noChangeAspect="1"/>
                    </pic:cNvPicPr>
                  </pic:nvPicPr>
                  <pic:blipFill>
                    <a:blip r:embed="rId66"/>
                    <a:stretch>
                      <a:fillRect/>
                    </a:stretch>
                  </pic:blipFill>
                  <pic:spPr>
                    <a:xfrm>
                      <a:off x="0" y="0"/>
                      <a:ext cx="3253105" cy="3308350"/>
                    </a:xfrm>
                    <a:prstGeom prst="rect">
                      <a:avLst/>
                    </a:prstGeom>
                    <a:noFill/>
                    <a:ln>
                      <a:noFill/>
                    </a:ln>
                  </pic:spPr>
                </pic:pic>
              </a:graphicData>
            </a:graphic>
          </wp:inline>
        </w:drawing>
      </w:r>
    </w:p>
    <w:p>
      <w:pPr>
        <w:numPr>
          <w:ilvl w:val="0"/>
          <w:numId w:val="0"/>
        </w:numPr>
        <w:tabs>
          <w:tab w:val="left" w:pos="0"/>
        </w:tabs>
        <w:ind w:leftChars="0"/>
        <w:jc w:val="center"/>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 xml:space="preserve">图58 </w:t>
      </w:r>
      <w:r>
        <w:rPr>
          <w:rFonts w:hint="default" w:asciiTheme="minorAscii" w:hAnsiTheme="minorAscii" w:eastAsiaTheme="minorEastAsia" w:cstheme="minorEastAsia"/>
          <w:b/>
          <w:bCs/>
          <w:sz w:val="24"/>
          <w:szCs w:val="24"/>
        </w:rPr>
        <w:t>定期巡检结合故障现场运行维护服务的基本操作流程图</w:t>
      </w:r>
    </w:p>
    <w:p>
      <w:pPr>
        <w:pStyle w:val="5"/>
        <w:rPr>
          <w:rFonts w:hint="default" w:asciiTheme="minorAscii" w:hAnsiTheme="minorAscii" w:eastAsiaTheme="minorEastAsia" w:cstheme="minorEastAsia"/>
          <w:sz w:val="24"/>
          <w:szCs w:val="24"/>
        </w:rPr>
      </w:pPr>
      <w:bookmarkStart w:id="218" w:name="_Toc16096"/>
      <w:bookmarkStart w:id="219" w:name="_Toc12994"/>
      <w:bookmarkStart w:id="220" w:name="_Toc32256"/>
      <w:bookmarkStart w:id="221" w:name="_Toc9770"/>
      <w:bookmarkStart w:id="222" w:name="_Toc23137"/>
      <w:bookmarkStart w:id="223" w:name="_Toc22165"/>
      <w:bookmarkStart w:id="224" w:name="_Toc24623"/>
      <w:bookmarkStart w:id="225" w:name="_Toc7689"/>
      <w:bookmarkStart w:id="226" w:name="_Toc13168"/>
      <w:r>
        <w:rPr>
          <w:rFonts w:hint="default" w:asciiTheme="minorAscii" w:hAnsiTheme="minorAscii" w:eastAsiaTheme="minorEastAsia" w:cstheme="minorEastAsia"/>
          <w:sz w:val="24"/>
          <w:szCs w:val="24"/>
        </w:rPr>
        <w:t>应急服务响应措施</w:t>
      </w:r>
      <w:bookmarkEnd w:id="218"/>
      <w:bookmarkEnd w:id="219"/>
      <w:bookmarkEnd w:id="220"/>
      <w:bookmarkEnd w:id="221"/>
      <w:bookmarkEnd w:id="222"/>
      <w:bookmarkEnd w:id="223"/>
      <w:bookmarkEnd w:id="224"/>
      <w:bookmarkEnd w:id="225"/>
      <w:bookmarkEnd w:id="226"/>
    </w:p>
    <w:p>
      <w:pPr>
        <w:ind w:firstLine="480"/>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针对本项目应制定了详尽应急处理预案，整个流程应严谨而有序。</w:t>
      </w:r>
    </w:p>
    <w:p>
      <w:pPr>
        <w:pStyle w:val="7"/>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应急基本流程</w:t>
      </w:r>
    </w:p>
    <w:p>
      <w:pPr>
        <w:ind w:firstLine="480"/>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维护服务应急处理流程如下图所示：</w:t>
      </w:r>
    </w:p>
    <w:p>
      <w:pPr>
        <w:ind w:left="0" w:leftChars="0" w:firstLine="0" w:firstLineChars="0"/>
        <w:jc w:val="center"/>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object>
          <v:shape id="_x0000_i1027" o:spt="75" type="#_x0000_t75" style="height:212.7pt;width:182.9pt;" o:ole="t" filled="f" o:preferrelative="t" stroked="f" coordsize="21600,21600">
            <v:path/>
            <v:fill on="f" focussize="0,0"/>
            <v:stroke on="f"/>
            <v:imagedata r:id="rId67" o:title=""/>
            <o:lock v:ext="edit" aspectratio="t"/>
            <w10:wrap type="none"/>
            <w10:anchorlock/>
          </v:shape>
          <o:OLEObject Type="Embed" ProgID="Visio.Drawing.11" ShapeID="_x0000_i1027" DrawAspect="Content" ObjectID="_1468075727">
            <o:LockedField>false</o:LockedField>
          </o:OLEObject>
        </w:object>
      </w:r>
    </w:p>
    <w:p>
      <w:pPr>
        <w:numPr>
          <w:ilvl w:val="0"/>
          <w:numId w:val="0"/>
        </w:numPr>
        <w:tabs>
          <w:tab w:val="left" w:pos="0"/>
        </w:tabs>
        <w:ind w:leftChars="0"/>
        <w:jc w:val="center"/>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 xml:space="preserve">图59 </w:t>
      </w:r>
      <w:r>
        <w:rPr>
          <w:rFonts w:hint="default" w:asciiTheme="minorAscii" w:hAnsiTheme="minorAscii" w:eastAsiaTheme="minorEastAsia" w:cstheme="minorEastAsia"/>
          <w:b/>
          <w:bCs/>
          <w:sz w:val="24"/>
          <w:szCs w:val="24"/>
        </w:rPr>
        <w:t>维护服务应急处理流程图</w:t>
      </w:r>
    </w:p>
    <w:p>
      <w:pPr>
        <w:pStyle w:val="7"/>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预防措施</w:t>
      </w:r>
    </w:p>
    <w:p>
      <w:pPr>
        <w:ind w:firstLine="480"/>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针对现场服务过程中可能遇到的各种各样的风险，应制定一系列预防处理措施，详见下表所示。</w:t>
      </w:r>
    </w:p>
    <w:p>
      <w:pPr>
        <w:pStyle w:val="30"/>
        <w:keepNext w:val="0"/>
        <w:keepLines w:val="0"/>
        <w:pageBreakBefore w:val="0"/>
        <w:widowControl w:val="0"/>
        <w:numPr>
          <w:ilvl w:val="0"/>
          <w:numId w:val="0"/>
        </w:numPr>
        <w:kinsoku/>
        <w:wordWrap/>
        <w:overflowPunct/>
        <w:topLinePunct w:val="0"/>
        <w:autoSpaceDE/>
        <w:autoSpaceDN/>
        <w:bidi w:val="0"/>
        <w:adjustRightInd/>
        <w:snapToGrid/>
        <w:spacing w:before="0" w:beforeLines="0" w:line="360" w:lineRule="auto"/>
        <w:ind w:leftChars="0"/>
        <w:textAlignment w:val="baseline"/>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风险预防措施表</w:t>
      </w:r>
    </w:p>
    <w:tbl>
      <w:tblPr>
        <w:tblStyle w:val="18"/>
        <w:tblW w:w="4861" w:type="pct"/>
        <w:tblInd w:w="144" w:type="dxa"/>
        <w:tblLayout w:type="autofit"/>
        <w:tblCellMar>
          <w:top w:w="0" w:type="dxa"/>
          <w:left w:w="108" w:type="dxa"/>
          <w:bottom w:w="0" w:type="dxa"/>
          <w:right w:w="108" w:type="dxa"/>
        </w:tblCellMar>
      </w:tblPr>
      <w:tblGrid>
        <w:gridCol w:w="852"/>
        <w:gridCol w:w="2142"/>
        <w:gridCol w:w="2831"/>
        <w:gridCol w:w="2984"/>
      </w:tblGrid>
      <w:tr>
        <w:tblPrEx>
          <w:tblCellMar>
            <w:top w:w="0" w:type="dxa"/>
            <w:left w:w="108" w:type="dxa"/>
            <w:bottom w:w="0" w:type="dxa"/>
            <w:right w:w="108" w:type="dxa"/>
          </w:tblCellMar>
        </w:tblPrEx>
        <w:trPr>
          <w:trHeight w:val="420" w:hRule="atLeast"/>
          <w:tblHeader/>
        </w:trPr>
        <w:tc>
          <w:tcPr>
            <w:tcW w:w="484" w:type="pct"/>
            <w:tcBorders>
              <w:top w:val="single" w:color="auto" w:sz="4" w:space="0"/>
              <w:left w:val="single" w:color="auto" w:sz="4" w:space="0"/>
              <w:bottom w:val="single" w:color="auto" w:sz="4" w:space="0"/>
              <w:right w:val="single" w:color="auto" w:sz="4" w:space="0"/>
            </w:tcBorders>
            <w:vAlign w:val="center"/>
          </w:tcPr>
          <w:p>
            <w:pPr>
              <w:widowControl/>
              <w:snapToGrid/>
              <w:spacing w:line="240" w:lineRule="auto"/>
              <w:ind w:firstLine="0" w:firstLineChars="0"/>
              <w:jc w:val="cente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pPr>
            <w: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t>类型</w:t>
            </w:r>
          </w:p>
        </w:tc>
        <w:tc>
          <w:tcPr>
            <w:tcW w:w="1215" w:type="pct"/>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cente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pPr>
            <w: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t>事件</w:t>
            </w:r>
          </w:p>
        </w:tc>
        <w:tc>
          <w:tcPr>
            <w:tcW w:w="1606" w:type="pct"/>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cente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pPr>
            <w: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t>预防措施</w:t>
            </w:r>
          </w:p>
        </w:tc>
        <w:tc>
          <w:tcPr>
            <w:tcW w:w="1693" w:type="pct"/>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cente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pPr>
            <w: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t>处理</w:t>
            </w:r>
          </w:p>
        </w:tc>
      </w:tr>
      <w:tr>
        <w:tblPrEx>
          <w:tblCellMar>
            <w:top w:w="0" w:type="dxa"/>
            <w:left w:w="108" w:type="dxa"/>
            <w:bottom w:w="0" w:type="dxa"/>
            <w:right w:w="108" w:type="dxa"/>
          </w:tblCellMar>
        </w:tblPrEx>
        <w:trPr>
          <w:trHeight w:val="620" w:hRule="atLeast"/>
        </w:trPr>
        <w:tc>
          <w:tcPr>
            <w:tcW w:w="484" w:type="pct"/>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应用软件</w:t>
            </w:r>
          </w:p>
        </w:tc>
        <w:tc>
          <w:tcPr>
            <w:tcW w:w="121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无法启动软件可执行文件</w:t>
            </w:r>
          </w:p>
        </w:tc>
        <w:tc>
          <w:tcPr>
            <w:tcW w:w="160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现场人员提前准备好各类需维护软件安装程序</w:t>
            </w:r>
          </w:p>
        </w:tc>
        <w:tc>
          <w:tcPr>
            <w:tcW w:w="169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将应用软件数据文件备份后，重新安装</w:t>
            </w:r>
          </w:p>
        </w:tc>
      </w:tr>
      <w:tr>
        <w:tblPrEx>
          <w:tblCellMar>
            <w:top w:w="0" w:type="dxa"/>
            <w:left w:w="108" w:type="dxa"/>
            <w:bottom w:w="0" w:type="dxa"/>
            <w:right w:w="108" w:type="dxa"/>
          </w:tblCellMar>
        </w:tblPrEx>
        <w:trPr>
          <w:trHeight w:val="880" w:hRule="atLeast"/>
        </w:trPr>
        <w:tc>
          <w:tcPr>
            <w:tcW w:w="484"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p>
        </w:tc>
        <w:tc>
          <w:tcPr>
            <w:tcW w:w="121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软件打开过程中或运行中异常错误关闭</w:t>
            </w:r>
          </w:p>
        </w:tc>
        <w:tc>
          <w:tcPr>
            <w:tcW w:w="160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现场人员准备好安装程序，操作系统优化和修补软件，查杀病毒软件</w:t>
            </w:r>
          </w:p>
        </w:tc>
        <w:tc>
          <w:tcPr>
            <w:tcW w:w="169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判断出错原因，备份数据，采取相关修复措施</w:t>
            </w:r>
          </w:p>
        </w:tc>
      </w:tr>
      <w:tr>
        <w:tblPrEx>
          <w:tblCellMar>
            <w:top w:w="0" w:type="dxa"/>
            <w:left w:w="108" w:type="dxa"/>
            <w:bottom w:w="0" w:type="dxa"/>
            <w:right w:w="108" w:type="dxa"/>
          </w:tblCellMar>
        </w:tblPrEx>
        <w:trPr>
          <w:trHeight w:val="830" w:hRule="atLeast"/>
        </w:trPr>
        <w:tc>
          <w:tcPr>
            <w:tcW w:w="484" w:type="pct"/>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操作系统</w:t>
            </w:r>
          </w:p>
        </w:tc>
        <w:tc>
          <w:tcPr>
            <w:tcW w:w="121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使用者本机操作系统异常或系统资源占用严重</w:t>
            </w:r>
          </w:p>
        </w:tc>
        <w:tc>
          <w:tcPr>
            <w:tcW w:w="160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准备好系统检查程序及修补程序，以及查杀病毒软件</w:t>
            </w:r>
          </w:p>
        </w:tc>
        <w:tc>
          <w:tcPr>
            <w:tcW w:w="169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告知使用者错误原因可能类型，提出解决方案，经使用者认可后采取相应措施</w:t>
            </w:r>
          </w:p>
        </w:tc>
      </w:tr>
      <w:tr>
        <w:tblPrEx>
          <w:tblCellMar>
            <w:top w:w="0" w:type="dxa"/>
            <w:left w:w="108" w:type="dxa"/>
            <w:bottom w:w="0" w:type="dxa"/>
            <w:right w:w="108" w:type="dxa"/>
          </w:tblCellMar>
        </w:tblPrEx>
        <w:trPr>
          <w:trHeight w:val="830" w:hRule="atLeast"/>
        </w:trPr>
        <w:tc>
          <w:tcPr>
            <w:tcW w:w="484"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p>
        </w:tc>
        <w:tc>
          <w:tcPr>
            <w:tcW w:w="121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B/S结构系统，IE浏览器异常或无法下载控件</w:t>
            </w:r>
          </w:p>
        </w:tc>
        <w:tc>
          <w:tcPr>
            <w:tcW w:w="160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准备流氓软件清理程序、修复浏览器软件、查杀病毒软件</w:t>
            </w:r>
          </w:p>
        </w:tc>
        <w:tc>
          <w:tcPr>
            <w:tcW w:w="169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检查IE浏览器选项设置，分析原因进行修复</w:t>
            </w:r>
          </w:p>
        </w:tc>
      </w:tr>
      <w:tr>
        <w:tblPrEx>
          <w:tblCellMar>
            <w:top w:w="0" w:type="dxa"/>
            <w:left w:w="108" w:type="dxa"/>
            <w:bottom w:w="0" w:type="dxa"/>
            <w:right w:w="108" w:type="dxa"/>
          </w:tblCellMar>
        </w:tblPrEx>
        <w:trPr>
          <w:trHeight w:val="780" w:hRule="atLeast"/>
        </w:trPr>
        <w:tc>
          <w:tcPr>
            <w:tcW w:w="484"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网络或服务器</w:t>
            </w:r>
          </w:p>
        </w:tc>
        <w:tc>
          <w:tcPr>
            <w:tcW w:w="121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B/S结构系统网络流量异常或服务器登录异常</w:t>
            </w:r>
          </w:p>
        </w:tc>
        <w:tc>
          <w:tcPr>
            <w:tcW w:w="160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判断服务器是否异常，否则准备杀毒软件</w:t>
            </w:r>
          </w:p>
        </w:tc>
        <w:tc>
          <w:tcPr>
            <w:tcW w:w="169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检查网络流量，流量异常小则报修网络服务商，流量异常大则查杀病毒</w:t>
            </w:r>
          </w:p>
        </w:tc>
      </w:tr>
    </w:tbl>
    <w:p>
      <w:pPr>
        <w:pStyle w:val="7"/>
        <w:pageBreakBefore w:val="0"/>
        <w:widowControl w:val="0"/>
        <w:kinsoku/>
        <w:wordWrap/>
        <w:overflowPunct/>
        <w:topLinePunct w:val="0"/>
        <w:autoSpaceDE/>
        <w:autoSpaceDN/>
        <w:bidi w:val="0"/>
        <w:adjustRightInd/>
        <w:snapToGrid/>
        <w:spacing w:line="300" w:lineRule="exact"/>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突发事件应急策略</w:t>
      </w:r>
    </w:p>
    <w:p>
      <w:pPr>
        <w:pageBreakBefore w:val="0"/>
        <w:widowControl w:val="0"/>
        <w:kinsoku/>
        <w:wordWrap/>
        <w:overflowPunct/>
        <w:topLinePunct w:val="0"/>
        <w:autoSpaceDE/>
        <w:autoSpaceDN/>
        <w:bidi w:val="0"/>
        <w:adjustRightInd/>
        <w:snapToGrid/>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系统运维应急方案是对中断或严重影响业务的故障，如宕机、数据丢失、业务中断等，进行快速响应和处理，在最短时间内恢复业务系统，将损失降到最低。在系统维护过程中，突发事件的出现将是很难完全避免的，针对这种情况，应设计完善的突发事件应急策略。</w:t>
      </w:r>
    </w:p>
    <w:p>
      <w:pPr>
        <w:pageBreakBefore w:val="0"/>
        <w:widowControl w:val="0"/>
        <w:kinsoku/>
        <w:wordWrap/>
        <w:overflowPunct/>
        <w:topLinePunct w:val="0"/>
        <w:autoSpaceDE/>
        <w:autoSpaceDN/>
        <w:bidi w:val="0"/>
        <w:adjustRightInd/>
        <w:snapToGrid/>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系统巡检人员要定期规范检查各应用软件运行情况，同时做好日常的数据增量备份和定期全备份。对发现的问题在报各级负责人的同时，要协调相关资源分析问题根源，确定解决方案和临时解决措施，避免造成更大的影响。问题得到稳定或彻底解决后，要形成问题汇报，避免以后类似重大紧急情况的发生。</w:t>
      </w:r>
    </w:p>
    <w:p>
      <w:pPr>
        <w:pageBreakBefore w:val="0"/>
        <w:widowControl w:val="0"/>
        <w:kinsoku/>
        <w:wordWrap/>
        <w:overflowPunct/>
        <w:topLinePunct w:val="0"/>
        <w:autoSpaceDE/>
        <w:autoSpaceDN/>
        <w:bidi w:val="0"/>
        <w:adjustRightInd/>
        <w:snapToGrid/>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当获悉出现突发事件时，技术支持人员可以立即从知识库中获取相应的应急策略，如下表所示，并综合用户方的具体情况，给出相关解决方案，然后在第一时间以电话、邮件支持或现场服务的方式帮助用户解决问题，尽最大努力减小突发事件对用户日常应用的影响。</w:t>
      </w:r>
    </w:p>
    <w:p>
      <w:pPr>
        <w:pStyle w:val="30"/>
        <w:keepNext w:val="0"/>
        <w:numPr>
          <w:ilvl w:val="0"/>
          <w:numId w:val="0"/>
        </w:numPr>
        <w:spacing w:before="166" w:line="360" w:lineRule="auto"/>
        <w:ind w:leftChars="0"/>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突发事件应急策略表</w:t>
      </w:r>
    </w:p>
    <w:tbl>
      <w:tblPr>
        <w:tblStyle w:val="18"/>
        <w:tblW w:w="4963" w:type="pct"/>
        <w:tblInd w:w="96" w:type="dxa"/>
        <w:tblLayout w:type="autofit"/>
        <w:tblCellMar>
          <w:top w:w="0" w:type="dxa"/>
          <w:left w:w="108" w:type="dxa"/>
          <w:bottom w:w="0" w:type="dxa"/>
          <w:right w:w="108" w:type="dxa"/>
        </w:tblCellMar>
      </w:tblPr>
      <w:tblGrid>
        <w:gridCol w:w="1621"/>
        <w:gridCol w:w="3593"/>
        <w:gridCol w:w="3780"/>
      </w:tblGrid>
      <w:tr>
        <w:tblPrEx>
          <w:tblCellMar>
            <w:top w:w="0" w:type="dxa"/>
            <w:left w:w="108" w:type="dxa"/>
            <w:bottom w:w="0" w:type="dxa"/>
            <w:right w:w="108" w:type="dxa"/>
          </w:tblCellMar>
        </w:tblPrEx>
        <w:trPr>
          <w:trHeight w:val="464" w:hRule="atLeast"/>
        </w:trPr>
        <w:tc>
          <w:tcPr>
            <w:tcW w:w="90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center"/>
              <w:textAlignment w:val="auto"/>
              <w:rPr>
                <w:rFonts w:hint="default" w:asciiTheme="minorAscii" w:hAnsiTheme="minorAscii" w:eastAsiaTheme="minorEastAsia" w:cstheme="minorEastAsia"/>
                <w:b/>
                <w:bCs/>
                <w:color w:val="000000" w:themeColor="text1"/>
                <w:kern w:val="0"/>
                <w:sz w:val="18"/>
                <w:szCs w:val="18"/>
                <w14:textFill>
                  <w14:solidFill>
                    <w14:schemeClr w14:val="tx1"/>
                  </w14:solidFill>
                </w14:textFill>
              </w:rPr>
            </w:pPr>
            <w: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t>紧急情况</w:t>
            </w:r>
          </w:p>
        </w:tc>
        <w:tc>
          <w:tcPr>
            <w:tcW w:w="1997"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center"/>
              <w:textAlignment w:val="auto"/>
              <w:rPr>
                <w:rFonts w:hint="default" w:asciiTheme="minorAscii" w:hAnsiTheme="minorAscii" w:eastAsiaTheme="minorEastAsia" w:cstheme="minorEastAsia"/>
                <w:b/>
                <w:bCs/>
                <w:color w:val="000000" w:themeColor="text1"/>
                <w:kern w:val="0"/>
                <w:sz w:val="18"/>
                <w:szCs w:val="18"/>
                <w14:textFill>
                  <w14:solidFill>
                    <w14:schemeClr w14:val="tx1"/>
                  </w14:solidFill>
                </w14:textFill>
              </w:rPr>
            </w:pPr>
            <w: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t>预防措施</w:t>
            </w:r>
          </w:p>
        </w:tc>
        <w:tc>
          <w:tcPr>
            <w:tcW w:w="2101"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center"/>
              <w:textAlignment w:val="auto"/>
              <w:rPr>
                <w:rFonts w:hint="default" w:asciiTheme="minorAscii" w:hAnsiTheme="minorAscii" w:eastAsiaTheme="minorEastAsia" w:cstheme="minorEastAsia"/>
                <w:b/>
                <w:bCs/>
                <w:color w:val="000000" w:themeColor="text1"/>
                <w:kern w:val="0"/>
                <w:sz w:val="18"/>
                <w:szCs w:val="18"/>
                <w14:textFill>
                  <w14:solidFill>
                    <w14:schemeClr w14:val="tx1"/>
                  </w14:solidFill>
                </w14:textFill>
              </w:rPr>
            </w:pPr>
            <w:r>
              <w:rPr>
                <w:rFonts w:hint="default" w:asciiTheme="minorAscii" w:hAnsiTheme="minorAscii" w:eastAsiaTheme="minorEastAsia" w:cstheme="minorEastAsia"/>
                <w:b/>
                <w:bCs/>
                <w:color w:val="000000" w:themeColor="text1"/>
                <w:kern w:val="0"/>
                <w:sz w:val="18"/>
                <w:szCs w:val="18"/>
                <w14:textFill>
                  <w14:solidFill>
                    <w14:schemeClr w14:val="tx1"/>
                  </w14:solidFill>
                </w14:textFill>
              </w:rPr>
              <w:t>应急策略</w:t>
            </w:r>
          </w:p>
        </w:tc>
      </w:tr>
      <w:tr>
        <w:tblPrEx>
          <w:tblCellMar>
            <w:top w:w="0" w:type="dxa"/>
            <w:left w:w="108" w:type="dxa"/>
            <w:bottom w:w="0" w:type="dxa"/>
            <w:right w:w="108" w:type="dxa"/>
          </w:tblCellMar>
        </w:tblPrEx>
        <w:trPr>
          <w:trHeight w:val="933" w:hRule="atLeast"/>
        </w:trPr>
        <w:tc>
          <w:tcPr>
            <w:tcW w:w="901"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操作失误</w:t>
            </w:r>
          </w:p>
        </w:tc>
        <w:tc>
          <w:tcPr>
            <w:tcW w:w="199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both"/>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加大培训力度，掌握培训效果，检验操作人员操作水准，提示注意事项。</w:t>
            </w:r>
          </w:p>
        </w:tc>
        <w:tc>
          <w:tcPr>
            <w:tcW w:w="2101"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both"/>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操作失误未造成既成结果或数据未丢失情况下，保障数据安全，反之，协调相关部门，进行补救。对操作人员强调注意事项</w:t>
            </w:r>
          </w:p>
        </w:tc>
      </w:tr>
      <w:tr>
        <w:tblPrEx>
          <w:tblCellMar>
            <w:top w:w="0" w:type="dxa"/>
            <w:left w:w="108" w:type="dxa"/>
            <w:bottom w:w="0" w:type="dxa"/>
            <w:right w:w="108" w:type="dxa"/>
          </w:tblCellMar>
        </w:tblPrEx>
        <w:trPr>
          <w:trHeight w:val="669" w:hRule="atLeast"/>
        </w:trPr>
        <w:tc>
          <w:tcPr>
            <w:tcW w:w="901"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配置丢失</w:t>
            </w:r>
          </w:p>
        </w:tc>
        <w:tc>
          <w:tcPr>
            <w:tcW w:w="199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both"/>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培训时强调使用前配置方法和步骤，并特别提示需在使用前按要求操作</w:t>
            </w:r>
          </w:p>
        </w:tc>
        <w:tc>
          <w:tcPr>
            <w:tcW w:w="2101"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both"/>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派出上门维护、培训人员重新配置，并耐心讲解。</w:t>
            </w:r>
          </w:p>
        </w:tc>
      </w:tr>
      <w:tr>
        <w:tblPrEx>
          <w:tblCellMar>
            <w:top w:w="0" w:type="dxa"/>
            <w:left w:w="108" w:type="dxa"/>
            <w:bottom w:w="0" w:type="dxa"/>
            <w:right w:w="108" w:type="dxa"/>
          </w:tblCellMar>
        </w:tblPrEx>
        <w:trPr>
          <w:trHeight w:val="840" w:hRule="atLeast"/>
        </w:trPr>
        <w:tc>
          <w:tcPr>
            <w:tcW w:w="901" w:type="pc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center"/>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数据丢失</w:t>
            </w:r>
          </w:p>
        </w:tc>
        <w:tc>
          <w:tcPr>
            <w:tcW w:w="1997"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both"/>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培训时强调使用过程中注意定期备份重要数据，日常维护过程中，上门服务人员实时备份数据并告知用户</w:t>
            </w:r>
          </w:p>
        </w:tc>
        <w:tc>
          <w:tcPr>
            <w:tcW w:w="2101"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exact"/>
              <w:ind w:firstLine="0" w:firstLineChars="0"/>
              <w:jc w:val="both"/>
              <w:textAlignment w:val="auto"/>
              <w:rPr>
                <w:rFonts w:hint="default" w:asciiTheme="minorAscii" w:hAnsiTheme="minorAscii" w:eastAsiaTheme="minorEastAsia" w:cstheme="minorEastAsia"/>
                <w:color w:val="000000" w:themeColor="text1"/>
                <w:kern w:val="0"/>
                <w:sz w:val="18"/>
                <w:szCs w:val="18"/>
                <w14:textFill>
                  <w14:solidFill>
                    <w14:schemeClr w14:val="tx1"/>
                  </w14:solidFill>
                </w14:textFill>
              </w:rPr>
            </w:pPr>
            <w:r>
              <w:rPr>
                <w:rFonts w:hint="default" w:asciiTheme="minorAscii" w:hAnsiTheme="minorAscii" w:eastAsiaTheme="minorEastAsia" w:cstheme="minorEastAsia"/>
                <w:color w:val="000000" w:themeColor="text1"/>
                <w:kern w:val="0"/>
                <w:sz w:val="18"/>
                <w:szCs w:val="18"/>
                <w14:textFill>
                  <w14:solidFill>
                    <w14:schemeClr w14:val="tx1"/>
                  </w14:solidFill>
                </w14:textFill>
              </w:rPr>
              <w:t>协调有关部门，进行补救，无法补救，提交报告说明原因。</w:t>
            </w:r>
          </w:p>
        </w:tc>
      </w:tr>
    </w:tbl>
    <w:p>
      <w:pPr>
        <w:pStyle w:val="5"/>
        <w:keepNext/>
        <w:keepLines/>
        <w:pageBreakBefore w:val="0"/>
        <w:widowControl w:val="0"/>
        <w:kinsoku/>
        <w:wordWrap/>
        <w:overflowPunct/>
        <w:topLinePunct w:val="0"/>
        <w:autoSpaceDE/>
        <w:autoSpaceDN/>
        <w:bidi w:val="0"/>
        <w:adjustRightInd/>
        <w:snapToGrid w:val="0"/>
        <w:spacing w:before="499" w:beforeLines="150" w:line="300" w:lineRule="exact"/>
        <w:textAlignment w:val="auto"/>
        <w:rPr>
          <w:rFonts w:hint="default" w:asciiTheme="minorAscii" w:hAnsiTheme="minorAscii" w:eastAsiaTheme="minorEastAsia" w:cstheme="minorEastAsia"/>
          <w:sz w:val="24"/>
          <w:szCs w:val="24"/>
        </w:rPr>
      </w:pPr>
      <w:bookmarkStart w:id="227" w:name="_Toc5168"/>
      <w:bookmarkStart w:id="228" w:name="_Toc19385"/>
      <w:bookmarkStart w:id="229" w:name="_Toc8872"/>
      <w:bookmarkStart w:id="230" w:name="_Toc14910"/>
      <w:bookmarkStart w:id="231" w:name="_Toc22517"/>
      <w:bookmarkStart w:id="232" w:name="_Toc2589"/>
      <w:bookmarkStart w:id="233" w:name="_Toc22260"/>
      <w:bookmarkStart w:id="234" w:name="_Toc2142"/>
      <w:bookmarkStart w:id="235" w:name="_Toc3293"/>
      <w:bookmarkStart w:id="236" w:name="_Toc32395"/>
      <w:r>
        <w:rPr>
          <w:rFonts w:hint="default" w:asciiTheme="minorAscii" w:hAnsiTheme="minorAscii" w:eastAsiaTheme="minorEastAsia" w:cstheme="minorEastAsia"/>
          <w:sz w:val="24"/>
          <w:szCs w:val="24"/>
        </w:rPr>
        <w:t>运维团队</w:t>
      </w:r>
      <w:bookmarkEnd w:id="227"/>
      <w:bookmarkEnd w:id="228"/>
      <w:bookmarkEnd w:id="229"/>
      <w:bookmarkEnd w:id="230"/>
      <w:bookmarkEnd w:id="231"/>
      <w:bookmarkEnd w:id="232"/>
      <w:bookmarkEnd w:id="233"/>
      <w:bookmarkEnd w:id="234"/>
      <w:bookmarkEnd w:id="235"/>
      <w:bookmarkEnd w:id="236"/>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运维人员要求</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服务方需在服务期组建运维团队，在</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项目建设单位</w:t>
      </w:r>
      <w:r>
        <w:rPr>
          <w:rFonts w:hint="default" w:asciiTheme="minorAscii" w:hAnsiTheme="minorAscii" w:eastAsiaTheme="minorEastAsia" w:cstheme="minorEastAsia"/>
          <w:color w:val="000000" w:themeColor="text1"/>
          <w:sz w:val="24"/>
          <w:szCs w:val="24"/>
          <w14:textFill>
            <w14:solidFill>
              <w14:schemeClr w14:val="tx1"/>
            </w14:solidFill>
          </w14:textFill>
        </w:rPr>
        <w:t>的统一指导下，按照本方案提出的运行维护内容与要求、运行维护服务流程、运行维护服务管理制度、应急服务响应措施，实施</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本项目</w:t>
      </w:r>
      <w:r>
        <w:rPr>
          <w:rFonts w:hint="default" w:asciiTheme="minorAscii" w:hAnsiTheme="minorAscii" w:eastAsiaTheme="minorEastAsia" w:cstheme="minorEastAsia"/>
          <w:color w:val="000000" w:themeColor="text1"/>
          <w:sz w:val="24"/>
          <w:szCs w:val="24"/>
          <w14:textFill>
            <w14:solidFill>
              <w14:schemeClr w14:val="tx1"/>
            </w14:solidFill>
          </w14:textFill>
        </w:rPr>
        <w:t>的运维服务。</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（1）运维团队人员工作经验要求如下：</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运维技术人员需有3年以上的操作系统、数据库、中间件的运维服务经验，同时熟悉</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本项目</w:t>
      </w:r>
      <w:r>
        <w:rPr>
          <w:rFonts w:hint="default" w:asciiTheme="minorAscii" w:hAnsiTheme="minorAscii" w:eastAsiaTheme="minorEastAsia" w:cstheme="minorEastAsia"/>
          <w:color w:val="000000" w:themeColor="text1"/>
          <w:sz w:val="24"/>
          <w:szCs w:val="24"/>
          <w14:textFill>
            <w14:solidFill>
              <w14:schemeClr w14:val="tx1"/>
            </w14:solidFill>
          </w14:textFill>
        </w:rPr>
        <w:t>各个应用系统架构和功能。</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（2）培训人员工作经验要求如下：</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培训人员应熟悉</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本项目</w:t>
      </w:r>
      <w:r>
        <w:rPr>
          <w:rFonts w:hint="default" w:asciiTheme="minorAscii" w:hAnsiTheme="minorAscii" w:eastAsiaTheme="minorEastAsia" w:cstheme="minorEastAsia"/>
          <w:color w:val="000000" w:themeColor="text1"/>
          <w:sz w:val="24"/>
          <w:szCs w:val="24"/>
          <w14:textFill>
            <w14:solidFill>
              <w14:schemeClr w14:val="tx1"/>
            </w14:solidFill>
          </w14:textFill>
        </w:rPr>
        <w:t>各个</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系统</w:t>
      </w:r>
      <w:r>
        <w:rPr>
          <w:rFonts w:hint="default" w:asciiTheme="minorAscii" w:hAnsiTheme="minorAscii" w:eastAsiaTheme="minorEastAsia" w:cstheme="minorEastAsia"/>
          <w:color w:val="000000" w:themeColor="text1"/>
          <w:sz w:val="24"/>
          <w:szCs w:val="24"/>
          <w14:textFill>
            <w14:solidFill>
              <w14:schemeClr w14:val="tx1"/>
            </w14:solidFill>
          </w14:textFill>
        </w:rPr>
        <w:t>建设服务的各项政策文件，熟悉</w:t>
      </w:r>
      <w:r>
        <w:rPr>
          <w:rFonts w:hint="default" w:asciiTheme="minorAscii" w:hAnsiTheme="minorAscii" w:eastAsiaTheme="minorEastAsia" w:cstheme="minorEastAsia"/>
          <w:color w:val="000000" w:themeColor="text1"/>
          <w:sz w:val="24"/>
          <w:szCs w:val="24"/>
          <w:lang w:eastAsia="zh-CN"/>
          <w14:textFill>
            <w14:solidFill>
              <w14:schemeClr w14:val="tx1"/>
            </w14:solidFill>
          </w14:textFill>
        </w:rPr>
        <w:t>“</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三水一体协同管控体系”风险源监测与环境应急平台及本项目所有设备设施</w:t>
      </w:r>
      <w:r>
        <w:rPr>
          <w:rFonts w:hint="default" w:asciiTheme="minorAscii" w:hAnsiTheme="minorAscii" w:eastAsiaTheme="minorEastAsia" w:cstheme="minorEastAsia"/>
          <w:color w:val="000000" w:themeColor="text1"/>
          <w:sz w:val="24"/>
          <w:szCs w:val="24"/>
          <w14:textFill>
            <w14:solidFill>
              <w14:schemeClr w14:val="tx1"/>
            </w14:solidFill>
          </w14:textFill>
        </w:rPr>
        <w:t>的各项操作，具有2年以上相关工作经验。</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根据平台管理运行要求，以及参考同等规模的电子政务系统运行现状，本系统的驻场服务要求如下：</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1）技术人员提供7×24小时技术服务。</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2）在7×24小时工作时间内设置由专人值守的热线电话，接听服务请求并记录服务台事件处理结果。</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3）在非工作时间包括工作日下班时间、节假日时间，专人7×24小时接听服务台电话热线，用于解决技术问题以及接听突发情况汇报。</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color w:val="000000" w:themeColor="text1"/>
          <w:sz w:val="24"/>
          <w:szCs w:val="24"/>
          <w14:textFill>
            <w14:solidFill>
              <w14:schemeClr w14:val="tx1"/>
            </w14:solidFill>
          </w14:textFill>
        </w:rPr>
      </w:pPr>
      <w:r>
        <w:rPr>
          <w:rFonts w:hint="default" w:asciiTheme="minorAscii" w:hAnsiTheme="minorAscii" w:eastAsiaTheme="minorEastAsia" w:cstheme="minorEastAsia"/>
          <w:color w:val="000000" w:themeColor="text1"/>
          <w:sz w:val="24"/>
          <w:szCs w:val="24"/>
          <w14:textFill>
            <w14:solidFill>
              <w14:schemeClr w14:val="tx1"/>
            </w14:solidFill>
          </w14:textFill>
        </w:rPr>
        <w:t>4）技术支持人员在解决故障时，需要最大限度保护好数据，做好故障恢复的文档，力争恢复到故障点前的业务状态，按照本项目服务需求及</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建设单位的</w:t>
      </w:r>
      <w:r>
        <w:rPr>
          <w:rFonts w:hint="default" w:asciiTheme="minorAscii" w:hAnsiTheme="minorAscii" w:eastAsiaTheme="minorEastAsia" w:cstheme="minorEastAsia"/>
          <w:color w:val="000000" w:themeColor="text1"/>
          <w:sz w:val="24"/>
          <w:szCs w:val="24"/>
          <w14:textFill>
            <w14:solidFill>
              <w14:schemeClr w14:val="tx1"/>
            </w14:solidFill>
          </w14:textFill>
        </w:rPr>
        <w:t>要求，做好服务保障工作。</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运维人员主要职责</w:t>
      </w:r>
    </w:p>
    <w:p>
      <w:pPr>
        <w:keepNext w:val="0"/>
        <w:keepLines w:val="0"/>
        <w:pageBreakBefore w:val="0"/>
        <w:widowControl w:val="0"/>
        <w:kinsoku/>
        <w:wordWrap/>
        <w:overflowPunct/>
        <w:topLinePunct w:val="0"/>
        <w:autoSpaceDE/>
        <w:autoSpaceDN/>
        <w:bidi w:val="0"/>
        <w:adjustRightInd w:val="0"/>
        <w:snapToGrid w:val="0"/>
        <w:spacing w:line="300" w:lineRule="exact"/>
        <w:ind w:firstLine="482"/>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软件运维人员职责：</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配置不小于2人（取得行业中级职称及以上）7*24小时运维团队驻场服务，提供软件、数据、安全专业的技术服务以保证项目运维服务质量，3年费用。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1）</w:t>
      </w:r>
      <w:r>
        <w:rPr>
          <w:rFonts w:hint="default" w:asciiTheme="minorAscii" w:hAnsiTheme="minorAscii" w:eastAsiaTheme="minorEastAsia" w:cstheme="minorEastAsia"/>
          <w:sz w:val="24"/>
          <w:szCs w:val="24"/>
        </w:rPr>
        <w:t>在运维工作开展前期，把有助于用户运维的相关资料进行收集整理，以确保在实际运维过程中不会由于缺少沟通或者遗漏部分环节导致的问题处理延迟。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2）</w:t>
      </w:r>
      <w:r>
        <w:rPr>
          <w:rFonts w:hint="default" w:asciiTheme="minorAscii" w:hAnsiTheme="minorAscii" w:eastAsiaTheme="minorEastAsia" w:cstheme="minorEastAsia"/>
          <w:sz w:val="24"/>
          <w:szCs w:val="24"/>
        </w:rPr>
        <w:t>在运维服务期间：针对运行维护的管理流程和内容，制定相应的运行维护管理制度，实现各项工作的规范化管理，做到事事有记录、事事有反馈、重大问题及时汇报。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3）</w:t>
      </w:r>
      <w:r>
        <w:rPr>
          <w:rFonts w:hint="default" w:asciiTheme="minorAscii" w:hAnsiTheme="minorAscii" w:eastAsiaTheme="minorEastAsia" w:cstheme="minorEastAsia"/>
          <w:sz w:val="24"/>
          <w:szCs w:val="24"/>
        </w:rPr>
        <w:t>系统监控和维护：对</w:t>
      </w:r>
      <w:r>
        <w:rPr>
          <w:rFonts w:hint="default" w:asciiTheme="minorAscii" w:hAnsiTheme="minorAscii" w:eastAsiaTheme="minorEastAsia" w:cstheme="minorEastAsia"/>
          <w:sz w:val="24"/>
          <w:szCs w:val="24"/>
          <w:lang w:val="en-US" w:eastAsia="zh-CN"/>
        </w:rPr>
        <w:t>本项目</w:t>
      </w:r>
      <w:r>
        <w:rPr>
          <w:rFonts w:hint="default" w:asciiTheme="minorAscii" w:hAnsiTheme="minorAscii" w:eastAsiaTheme="minorEastAsia" w:cstheme="minorEastAsia"/>
          <w:color w:val="000000" w:themeColor="text1"/>
          <w:sz w:val="24"/>
          <w:szCs w:val="24"/>
          <w:lang w:eastAsia="zh-CN"/>
          <w14:textFill>
            <w14:solidFill>
              <w14:schemeClr w14:val="tx1"/>
            </w14:solidFill>
          </w14:textFill>
        </w:rPr>
        <w:t>“</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三水一体协同管控体系”风险源监测与环境应急平台</w:t>
      </w:r>
      <w:r>
        <w:rPr>
          <w:rFonts w:hint="default" w:asciiTheme="minorAscii" w:hAnsiTheme="minorAscii" w:eastAsiaTheme="minorEastAsia" w:cstheme="minorEastAsia"/>
          <w:sz w:val="24"/>
          <w:szCs w:val="24"/>
        </w:rPr>
        <w:t>进行实时监控和维护，确保系统的正常运行，及时发现和解决问题。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4）</w:t>
      </w:r>
      <w:r>
        <w:rPr>
          <w:rFonts w:hint="default" w:asciiTheme="minorAscii" w:hAnsiTheme="minorAscii" w:eastAsiaTheme="minorEastAsia" w:cstheme="minorEastAsia"/>
          <w:sz w:val="24"/>
          <w:szCs w:val="24"/>
        </w:rPr>
        <w:t>应急管理和响应：对</w:t>
      </w:r>
      <w:r>
        <w:rPr>
          <w:rFonts w:hint="default" w:asciiTheme="minorAscii" w:hAnsiTheme="minorAscii" w:eastAsiaTheme="minorEastAsia" w:cstheme="minorEastAsia"/>
          <w:sz w:val="24"/>
          <w:szCs w:val="24"/>
          <w:lang w:val="en-US" w:eastAsia="zh-CN"/>
        </w:rPr>
        <w:t>本项目</w:t>
      </w:r>
      <w:r>
        <w:rPr>
          <w:rFonts w:hint="default" w:asciiTheme="minorAscii" w:hAnsiTheme="minorAscii" w:eastAsiaTheme="minorEastAsia" w:cstheme="minorEastAsia"/>
          <w:sz w:val="24"/>
          <w:szCs w:val="24"/>
        </w:rPr>
        <w:t>出现的突发事件进行应急管理和响应，及时解决问题，确保城市的正常运行</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5</w:t>
      </w:r>
      <w:r>
        <w:rPr>
          <w:rFonts w:hint="default" w:asciiTheme="minorAscii" w:hAnsiTheme="minorAscii" w:eastAsiaTheme="minorEastAsia" w:cstheme="minorEastAsia"/>
          <w:sz w:val="24"/>
          <w:szCs w:val="24"/>
          <w:lang w:eastAsia="zh-CN"/>
        </w:rPr>
        <w:t>）</w:t>
      </w:r>
      <w:r>
        <w:rPr>
          <w:rFonts w:hint="default" w:asciiTheme="minorAscii" w:hAnsiTheme="minorAscii" w:eastAsiaTheme="minorEastAsia" w:cstheme="minorEastAsia"/>
          <w:sz w:val="24"/>
          <w:szCs w:val="24"/>
        </w:rPr>
        <w:t>人员培训和管理：组织对</w:t>
      </w:r>
      <w:r>
        <w:rPr>
          <w:rFonts w:hint="default" w:asciiTheme="minorAscii" w:hAnsiTheme="minorAscii" w:eastAsiaTheme="minorEastAsia" w:cstheme="minorEastAsia"/>
          <w:sz w:val="24"/>
          <w:szCs w:val="24"/>
          <w:lang w:val="en-US" w:eastAsia="zh-CN"/>
        </w:rPr>
        <w:t>本项目</w:t>
      </w:r>
      <w:r>
        <w:rPr>
          <w:rFonts w:hint="default" w:asciiTheme="minorAscii" w:hAnsiTheme="minorAscii" w:eastAsiaTheme="minorEastAsia" w:cstheme="minorEastAsia"/>
          <w:sz w:val="24"/>
          <w:szCs w:val="24"/>
        </w:rPr>
        <w:t>的工作人员进行培训和管理，提高工作人员的素质和能力，保证</w:t>
      </w:r>
      <w:r>
        <w:rPr>
          <w:rFonts w:hint="default" w:asciiTheme="minorAscii" w:hAnsiTheme="minorAscii" w:eastAsiaTheme="minorEastAsia" w:cstheme="minorEastAsia"/>
          <w:color w:val="000000" w:themeColor="text1"/>
          <w:sz w:val="24"/>
          <w:szCs w:val="24"/>
          <w:lang w:eastAsia="zh-CN"/>
          <w14:textFill>
            <w14:solidFill>
              <w14:schemeClr w14:val="tx1"/>
            </w14:solidFill>
          </w14:textFill>
        </w:rPr>
        <w:t>“</w:t>
      </w:r>
      <w:r>
        <w:rPr>
          <w:rFonts w:hint="default" w:asciiTheme="minorAscii" w:hAnsiTheme="minorAscii" w:eastAsiaTheme="minorEastAsia" w:cstheme="minorEastAsia"/>
          <w:color w:val="000000" w:themeColor="text1"/>
          <w:sz w:val="24"/>
          <w:szCs w:val="24"/>
          <w:lang w:val="en-US" w:eastAsia="zh-CN"/>
          <w14:textFill>
            <w14:solidFill>
              <w14:schemeClr w14:val="tx1"/>
            </w14:solidFill>
          </w14:textFill>
        </w:rPr>
        <w:t>三水一体协同管控体系”风险源监测与环境应急平台</w:t>
      </w:r>
      <w:r>
        <w:rPr>
          <w:rFonts w:hint="default" w:asciiTheme="minorAscii" w:hAnsiTheme="minorAscii" w:eastAsiaTheme="minorEastAsia" w:cstheme="minorEastAsia"/>
          <w:sz w:val="24"/>
          <w:szCs w:val="24"/>
        </w:rPr>
        <w:t>高效运行。</w:t>
      </w:r>
    </w:p>
    <w:p>
      <w:pPr>
        <w:keepNext w:val="0"/>
        <w:keepLines w:val="0"/>
        <w:pageBreakBefore w:val="0"/>
        <w:widowControl w:val="0"/>
        <w:kinsoku/>
        <w:wordWrap/>
        <w:overflowPunct/>
        <w:topLinePunct w:val="0"/>
        <w:autoSpaceDE/>
        <w:autoSpaceDN/>
        <w:bidi w:val="0"/>
        <w:adjustRightInd w:val="0"/>
        <w:snapToGrid w:val="0"/>
        <w:spacing w:line="300" w:lineRule="exact"/>
        <w:ind w:firstLine="482"/>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硬件运维人员职责：</w:t>
      </w:r>
    </w:p>
    <w:p>
      <w:pPr>
        <w:keepNext w:val="0"/>
        <w:keepLines w:val="0"/>
        <w:pageBreakBefore w:val="0"/>
        <w:widowControl w:val="0"/>
        <w:kinsoku/>
        <w:wordWrap/>
        <w:overflowPunct/>
        <w:topLinePunct w:val="0"/>
        <w:autoSpaceDE/>
        <w:autoSpaceDN/>
        <w:bidi w:val="0"/>
        <w:adjustRightInd w:val="0"/>
        <w:snapToGrid w:val="0"/>
        <w:spacing w:line="300" w:lineRule="exact"/>
        <w:ind w:firstLine="48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配置不小于1人（取得行业中级职称及以上）7*24小时运维团队驻场服务，提供专业的技术服务以保证项目运维服务质量，3年费用。</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本项目需要日常维护的硬件主要是服务器和前端设备，服务器的管理与维护包括硬件升级、定期维护、更新及事故上报等。</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设施维护和管理：对</w:t>
      </w:r>
      <w:r>
        <w:rPr>
          <w:rFonts w:hint="default" w:asciiTheme="minorAscii" w:hAnsiTheme="minorAscii" w:eastAsiaTheme="minorEastAsia" w:cstheme="minorEastAsia"/>
          <w:sz w:val="24"/>
          <w:szCs w:val="24"/>
          <w:lang w:val="en-US" w:eastAsia="zh-CN"/>
        </w:rPr>
        <w:t>本项目</w:t>
      </w:r>
      <w:r>
        <w:rPr>
          <w:rFonts w:hint="default" w:asciiTheme="minorAscii" w:hAnsiTheme="minorAscii" w:eastAsiaTheme="minorEastAsia" w:cstheme="minorEastAsia"/>
          <w:sz w:val="24"/>
          <w:szCs w:val="24"/>
        </w:rPr>
        <w:t>的</w:t>
      </w:r>
      <w:r>
        <w:rPr>
          <w:rFonts w:hint="default" w:asciiTheme="minorAscii" w:hAnsiTheme="minorAscii" w:eastAsiaTheme="minorEastAsia" w:cstheme="minorEastAsia"/>
          <w:sz w:val="24"/>
          <w:szCs w:val="24"/>
          <w:lang w:val="en-US" w:eastAsia="zh-CN"/>
        </w:rPr>
        <w:t>设备</w:t>
      </w:r>
      <w:r>
        <w:rPr>
          <w:rFonts w:hint="default" w:asciiTheme="minorAscii" w:hAnsiTheme="minorAscii" w:eastAsiaTheme="minorEastAsia" w:cstheme="minorEastAsia"/>
          <w:sz w:val="24"/>
          <w:szCs w:val="24"/>
        </w:rPr>
        <w:t>设施进行定期检查和维护，确保</w:t>
      </w:r>
      <w:r>
        <w:rPr>
          <w:rFonts w:hint="default" w:asciiTheme="minorAscii" w:hAnsiTheme="minorAscii" w:eastAsiaTheme="minorEastAsia" w:cstheme="minorEastAsia"/>
          <w:sz w:val="24"/>
          <w:szCs w:val="24"/>
          <w:lang w:val="en-US" w:eastAsia="zh-CN"/>
        </w:rPr>
        <w:t>设备</w:t>
      </w:r>
      <w:r>
        <w:rPr>
          <w:rFonts w:hint="default" w:asciiTheme="minorAscii" w:hAnsiTheme="minorAscii" w:eastAsiaTheme="minorEastAsia" w:cstheme="minorEastAsia"/>
          <w:sz w:val="24"/>
          <w:szCs w:val="24"/>
        </w:rPr>
        <w:t>设施的正常运行，提高</w:t>
      </w:r>
      <w:r>
        <w:rPr>
          <w:rFonts w:hint="default" w:asciiTheme="minorAscii" w:hAnsiTheme="minorAscii" w:eastAsiaTheme="minorEastAsia" w:cstheme="minorEastAsia"/>
          <w:sz w:val="24"/>
          <w:szCs w:val="24"/>
          <w:lang w:val="en-US" w:eastAsia="zh-CN"/>
        </w:rPr>
        <w:t>项目基础能力和应急指挥中心</w:t>
      </w:r>
      <w:r>
        <w:rPr>
          <w:rFonts w:hint="default" w:asciiTheme="minorAscii" w:hAnsiTheme="minorAscii" w:eastAsiaTheme="minorEastAsia" w:cstheme="minorEastAsia"/>
          <w:sz w:val="24"/>
          <w:szCs w:val="24"/>
        </w:rPr>
        <w:t>的整体运行效率。</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应急管理和响应：对</w:t>
      </w:r>
      <w:r>
        <w:rPr>
          <w:rFonts w:hint="default" w:asciiTheme="minorAscii" w:hAnsiTheme="minorAscii" w:eastAsiaTheme="minorEastAsia" w:cstheme="minorEastAsia"/>
          <w:sz w:val="24"/>
          <w:szCs w:val="24"/>
          <w:lang w:val="en-US" w:eastAsia="zh-CN"/>
        </w:rPr>
        <w:t>项目基础能力和应急指挥中心设备设施</w:t>
      </w:r>
      <w:r>
        <w:rPr>
          <w:rFonts w:hint="default" w:asciiTheme="minorAscii" w:hAnsiTheme="minorAscii" w:eastAsiaTheme="minorEastAsia" w:cstheme="minorEastAsia"/>
          <w:sz w:val="24"/>
          <w:szCs w:val="24"/>
        </w:rPr>
        <w:t>出现的突发事件进行应急管理和响应，及时解决问题，确保</w:t>
      </w:r>
      <w:r>
        <w:rPr>
          <w:rFonts w:hint="default" w:asciiTheme="minorAscii" w:hAnsiTheme="minorAscii" w:eastAsiaTheme="minorEastAsia" w:cstheme="minorEastAsia"/>
          <w:sz w:val="24"/>
          <w:szCs w:val="24"/>
          <w:lang w:val="en-US" w:eastAsia="zh-CN"/>
        </w:rPr>
        <w:t>项目设备设施</w:t>
      </w:r>
      <w:r>
        <w:rPr>
          <w:rFonts w:hint="default" w:asciiTheme="minorAscii" w:hAnsiTheme="minorAscii" w:eastAsiaTheme="minorEastAsia" w:cstheme="minorEastAsia"/>
          <w:sz w:val="24"/>
          <w:szCs w:val="24"/>
        </w:rPr>
        <w:t>的正常运行。</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00" w:lineRule="exact"/>
        <w:ind w:left="0"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人员培训和管理：组织对</w:t>
      </w:r>
      <w:r>
        <w:rPr>
          <w:rFonts w:hint="default" w:asciiTheme="minorAscii" w:hAnsiTheme="minorAscii" w:eastAsiaTheme="minorEastAsia" w:cstheme="minorEastAsia"/>
          <w:sz w:val="24"/>
          <w:szCs w:val="24"/>
          <w:lang w:val="en-US" w:eastAsia="zh-CN"/>
        </w:rPr>
        <w:t>项目设备设施使用</w:t>
      </w:r>
      <w:r>
        <w:rPr>
          <w:rFonts w:hint="default" w:asciiTheme="minorAscii" w:hAnsiTheme="minorAscii" w:eastAsiaTheme="minorEastAsia" w:cstheme="minorEastAsia"/>
          <w:sz w:val="24"/>
          <w:szCs w:val="24"/>
        </w:rPr>
        <w:t>人员进行培训和管理，提高工作人员的素质和能力，保证</w:t>
      </w:r>
      <w:r>
        <w:rPr>
          <w:rFonts w:hint="default" w:asciiTheme="minorAscii" w:hAnsiTheme="minorAscii" w:eastAsiaTheme="minorEastAsia" w:cstheme="minorEastAsia"/>
          <w:sz w:val="24"/>
          <w:szCs w:val="24"/>
          <w:lang w:val="en-US" w:eastAsia="zh-CN"/>
        </w:rPr>
        <w:t>项目设备设施</w:t>
      </w:r>
      <w:r>
        <w:rPr>
          <w:rFonts w:hint="default" w:asciiTheme="minorAscii" w:hAnsiTheme="minorAscii" w:eastAsiaTheme="minorEastAsia" w:cstheme="minorEastAsia"/>
          <w:sz w:val="24"/>
          <w:szCs w:val="24"/>
        </w:rPr>
        <w:t>的高效运行。</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项目运维服务年限及费用占比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本项目依法组织采购的所有硬件、软件和建成投入运行的系统含叁年驻场运维服务，费用占采购标的物综合单价的30%～36%。</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本项目将以公开招标综合评分“加分”的方式鼓励投标供应商承诺免费延长项目质保期限。</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项目运维服务考核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lang w:val="en-US" w:eastAsia="zh-CN"/>
        </w:rPr>
        <w:t>建议在项目采购合同中明确：供应商向项目建设单位提交《项目运维服务考核方案》，经项目建设单位组织审定通过后执行，考核结果与质保金返还挂钩。</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项目运维备品备件配置与管理方案</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总体原则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1"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保障核心、按需配置：</w:t>
      </w:r>
      <w:r>
        <w:rPr>
          <w:rFonts w:hint="default" w:asciiTheme="minorAscii" w:hAnsiTheme="minorAscii" w:eastAsiaTheme="minorEastAsia" w:cstheme="minorEastAsia"/>
          <w:sz w:val="24"/>
          <w:szCs w:val="24"/>
        </w:rPr>
        <w:t>优先保障核心、关键、故障率高、采购周期长的设备与部件。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1"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分级分类、动态管理：</w:t>
      </w:r>
      <w:r>
        <w:rPr>
          <w:rFonts w:hint="default" w:asciiTheme="minorAscii" w:hAnsiTheme="minorAscii" w:eastAsiaTheme="minorEastAsia" w:cstheme="minorEastAsia"/>
          <w:sz w:val="24"/>
          <w:szCs w:val="24"/>
        </w:rPr>
        <w:t>根据部件的重要性、故障概率、更换时效性等进行分级分类管理，并根据实际运维情况动态调整库存。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1"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成本效益、合理储备：</w:t>
      </w:r>
      <w:r>
        <w:rPr>
          <w:rFonts w:hint="default" w:asciiTheme="minorAscii" w:hAnsiTheme="minorAscii" w:eastAsiaTheme="minorEastAsia" w:cstheme="minorEastAsia"/>
          <w:sz w:val="24"/>
          <w:szCs w:val="24"/>
        </w:rPr>
        <w:t>平衡库存成本与运维风险，避免过度积压，通过供应商协议、代储代销等方式优化库存结构。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1"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合规可用、渠道可靠：</w:t>
      </w:r>
      <w:r>
        <w:rPr>
          <w:rFonts w:hint="default" w:asciiTheme="minorAscii" w:hAnsiTheme="minorAscii" w:eastAsiaTheme="minorEastAsia" w:cstheme="minorEastAsia"/>
          <w:sz w:val="24"/>
          <w:szCs w:val="24"/>
        </w:rPr>
        <w:t>备件必须为原厂正品或通过原厂认证的兼容件，并确保供应商渠道稳定可靠，支持快速交付。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1"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b/>
          <w:bCs/>
          <w:sz w:val="24"/>
          <w:szCs w:val="24"/>
        </w:rPr>
        <w:t>账物相符、流程规范：</w:t>
      </w:r>
      <w:r>
        <w:rPr>
          <w:rFonts w:hint="default" w:asciiTheme="minorAscii" w:hAnsiTheme="minorAscii" w:eastAsiaTheme="minorEastAsia" w:cstheme="minorEastAsia"/>
          <w:sz w:val="24"/>
          <w:szCs w:val="24"/>
        </w:rPr>
        <w:t>建立严格的备件入库、领用、返修、报废管理制度和信息化台账。</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lang w:val="en-US" w:eastAsia="zh-CN"/>
        </w:rPr>
      </w:pPr>
      <w:r>
        <w:rPr>
          <w:rFonts w:hint="default" w:asciiTheme="minorAscii" w:hAnsiTheme="minorAscii" w:eastAsiaTheme="minorEastAsia" w:cstheme="minorEastAsia"/>
          <w:sz w:val="24"/>
          <w:szCs w:val="24"/>
          <w:lang w:val="en-US" w:eastAsia="zh-CN"/>
        </w:rPr>
        <w:t>备品备件范围与分类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1" w:firstLineChars="200"/>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lang w:val="en-US" w:eastAsia="zh-CN"/>
        </w:rPr>
        <w:t>1）</w:t>
      </w:r>
      <w:r>
        <w:rPr>
          <w:rFonts w:hint="default" w:asciiTheme="minorAscii" w:hAnsiTheme="minorAscii" w:eastAsiaTheme="minorEastAsia" w:cstheme="minorEastAsia"/>
          <w:b/>
          <w:bCs/>
          <w:sz w:val="24"/>
          <w:szCs w:val="24"/>
        </w:rPr>
        <w:t>第一类：硬件设备与部件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A级（核心关键，必须现场备货）：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密码安全设备：服务器密码机、VPN网关的主控板/加密卡、智能密码钥匙（一定数量）。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网络核心设备：核心交换机/路由器的主控引擎、电源模块、光模块（关键型号）。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计算与存储核心：数据库服务器/虚拟化主机的主板、RAID卡、电源、企业级SSD（系统盘）、HBA卡。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存储设备：磁盘阵列的控制器模块、电源、高速缓存模块、专用硬盘（一定数量）。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专用设备：水质/水量监测仪表的传感器探头、数据采集模块（RTU/DTU）整机。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B级（重要，视情况备货或签订快速响应协议）：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汇聚/接入层网络设备：整机备品。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服务器：内存条、硬盘（非系统盘）、风扇。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安全设备：防火墙、入侵检测的电源、接口模块。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机房基础设施：UPS电池组、精密空调的压缩机、风机。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终端与外围：工业级交换机、光纤收发器、串口服务器。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C级（通用易损，少量备货或市场通用）：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各类线缆（网线、光纤、串口线）、接插件、机柜配件（导轨、螺丝）。</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显示器、键盘鼠标、普通PC电源。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打印机耗材（硒鼓、色带）。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1" w:firstLineChars="200"/>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第二类：软件与许可证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操作系统与数据库：保留一套与生产环境版本一致的备用安装介质及授权。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核心应用软件：保留一套完整的应用程序安装包、补丁包及部署文档。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虚拟化与云平台：保留平台恢复所需的镜像模板、配置文件及管理工具。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许可证：为关键商业软件准备临时或冷备许可证，以备主许可证服务器故障时应急启用。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1" w:firstLineChars="200"/>
        <w:textAlignment w:val="auto"/>
        <w:rPr>
          <w:rFonts w:hint="default" w:asciiTheme="minorAscii" w:hAnsiTheme="minorAscii" w:eastAsiaTheme="minorEastAsia" w:cstheme="minorEastAsia"/>
          <w:b/>
          <w:bCs/>
          <w:sz w:val="24"/>
          <w:szCs w:val="24"/>
        </w:rPr>
      </w:pPr>
      <w:r>
        <w:rPr>
          <w:rFonts w:hint="default" w:asciiTheme="minorAscii" w:hAnsiTheme="minorAscii" w:eastAsiaTheme="minorEastAsia" w:cstheme="minorEastAsia"/>
          <w:b/>
          <w:bCs/>
          <w:sz w:val="24"/>
          <w:szCs w:val="24"/>
        </w:rPr>
        <w:t>第三类：数据与配置备份介质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专用备份介质：用于容灾恢复的磁带、外置硬盘等（定期更新）。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系统恢复盘/启动盘：服务器厂商的诊断盘、HBA卡驱动盘等。</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备件库存策略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现场常备库：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地点：主数据中心或运维中心。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内容：所有 A级备件 及部分高故障率的 B级备件。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目标：满足 95%以上 的常见故障 4小时内现场可更换的需求。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供应商快速供应库（代储/备货在供）：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方式：与核心设备原厂或一级代理商签订 《备件支持服务协议》 ，要求其在本地仓库或区域仓库储备本项目专用的B级及部分A级备件。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目标：确保在需要时， 2-24小时内 可送达现场。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紧急采购渠道：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明确C级通用件及未储备备件的 紧急采购流程和合格供应商列表，确保渠道畅通。</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关键指标与要求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备件可用性：核心系统（如数据库、密码服务、核心网络）的备件可用率应≥99.9%。</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响应与更换时间：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A级备件：现场响应时间 ≤ 30分钟，更换时间 ≤ 2小时。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B级备件：到场时间 ≤ 4小时（本地），更换时间 ≤ 2小时。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备件质量：必须提供原厂证明或兼容性认证报告，上架前需进行测试。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生命周期匹配：备件的技术生命周期必须覆盖其所服务设备的主运维期（通常</w:t>
      </w:r>
      <w:r>
        <w:rPr>
          <w:rFonts w:hint="default" w:asciiTheme="minorAscii" w:hAnsiTheme="minorAscii" w:eastAsiaTheme="minorEastAsia" w:cstheme="minorEastAsia"/>
          <w:sz w:val="24"/>
          <w:szCs w:val="24"/>
          <w:lang w:val="en-US" w:eastAsia="zh-CN"/>
        </w:rPr>
        <w:t>5</w:t>
      </w:r>
      <w:r>
        <w:rPr>
          <w:rFonts w:hint="default" w:asciiTheme="minorAscii" w:hAnsiTheme="minorAscii" w:eastAsiaTheme="minorEastAsia" w:cstheme="minorEastAsia"/>
          <w:sz w:val="24"/>
          <w:szCs w:val="24"/>
        </w:rPr>
        <w:t>-7年）。在设备停产前，应进行“最后一次性采购”以储备关键备件。</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管理与运维流程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入库管理：严格验收，登记型号、序列号、保修期、入库时间，贴标入库。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库存管理：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信息化台账：使用CMDB或专用备件管理系统进行管理，实现库存预警（低于安全库存时自动提醒）。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定期盘点：每季度进行一次物理盘点，确保账实相符。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定期检测：对电池、加密卡等有自损耗的备件，每半年进行一次上电检测。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领用与返修：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流程审批：故障确认→提交领用申请→审批→领用出库→更换。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坏件返修：更换下的故障件，应在规定时间内（如7天）送修，并跟踪返修状态，更新库存信息。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报废与更新：对已淘汰、无法修复或超过保质期的备件，履行报废手续。并根据技术演进和故障分析，每年评审并更新一次《备品备件清单》。</w:t>
      </w:r>
    </w:p>
    <w:p>
      <w:pPr>
        <w:pStyle w:val="8"/>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供应商服务要求（应在采购合同中明确）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备件支持服务等级协议：明确备件响应时间（如7x24，4小时到场）、备件供应保障期限（与设备质保期后延保匹配）。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技术生命周期承诺：供应商应承诺在产品停产后至少 5年 内继续提供备件支持。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替代方案：当原型号备件无法提供时，供应商应免费或按约定价格提供功能、性能兼容且经认证的升级替代产品。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Chars="0" w:firstLine="480" w:firstLineChars="20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定期巡检与健康检查：服务商应定期对关键设备进行健康检查，并提供备件消耗预测建议。</w:t>
      </w:r>
    </w:p>
    <w:p>
      <w:pPr>
        <w:pStyle w:val="4"/>
        <w:keepNext w:val="0"/>
        <w:keepLines w:val="0"/>
        <w:pageBreakBefore w:val="0"/>
        <w:widowControl w:val="0"/>
        <w:kinsoku/>
        <w:wordWrap/>
        <w:overflowPunct/>
        <w:topLinePunct w:val="0"/>
        <w:autoSpaceDE/>
        <w:autoSpaceDN/>
        <w:bidi w:val="0"/>
        <w:snapToGrid w:val="0"/>
        <w:spacing w:before="166" w:after="166" w:line="300" w:lineRule="exact"/>
        <w:textAlignment w:val="auto"/>
        <w:rPr>
          <w:rFonts w:hint="default" w:asciiTheme="minorAscii" w:hAnsiTheme="minorAscii" w:eastAsiaTheme="minorEastAsia" w:cstheme="minorEastAsia"/>
          <w:sz w:val="24"/>
          <w:szCs w:val="24"/>
          <w:highlight w:val="none"/>
        </w:rPr>
      </w:pPr>
      <w:bookmarkStart w:id="237" w:name="_Toc26528"/>
      <w:r>
        <w:rPr>
          <w:rFonts w:hint="default" w:asciiTheme="minorAscii" w:hAnsiTheme="minorAscii" w:eastAsiaTheme="minorEastAsia" w:cstheme="minorEastAsia"/>
          <w:sz w:val="24"/>
          <w:szCs w:val="24"/>
          <w:highlight w:val="none"/>
        </w:rPr>
        <w:t>数据资源和数据库</w:t>
      </w:r>
      <w:bookmarkEnd w:id="237"/>
    </w:p>
    <w:p>
      <w:pPr>
        <w:pStyle w:val="5"/>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项目本期信息资源采集目录</w:t>
      </w:r>
    </w:p>
    <w:p>
      <w:pPr>
        <w:keepNext w:val="0"/>
        <w:keepLines w:val="0"/>
        <w:pageBreakBefore w:val="0"/>
        <w:widowControl w:val="0"/>
        <w:kinsoku/>
        <w:wordWrap/>
        <w:overflowPunct/>
        <w:topLinePunct w:val="0"/>
        <w:autoSpaceDE/>
        <w:autoSpaceDN/>
        <w:bidi w:val="0"/>
        <w:adjustRightInd/>
        <w:snapToGrid w:val="0"/>
        <w:spacing w:after="84" w:afterLines="25" w:line="300" w:lineRule="exact"/>
        <w:ind w:firstLine="48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本项目将构建空、天、地、水一体化的感知体系，通过物联网设备、移动终端、业务系统等多元渠道，采集和产生以下几大类数据资源：</w:t>
      </w:r>
    </w:p>
    <w:tbl>
      <w:tblPr>
        <w:tblStyle w:val="18"/>
        <w:tblW w:w="899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9"/>
        <w:gridCol w:w="720"/>
        <w:gridCol w:w="870"/>
        <w:gridCol w:w="2473"/>
        <w:gridCol w:w="975"/>
        <w:gridCol w:w="1305"/>
        <w:gridCol w:w="885"/>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blHeader/>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序号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信息大类</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信息项名称</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信息项说明 (展开的具体数据字段)</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数据类型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数据来源/采集方式</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更新频率</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共享属性（初步）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水环境数据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水质监测数据</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实时数据：监测点ID、坐标、时间戳、pH值、溶解氧(DO)、高锰酸盐指数(CODmn)、氨氮(NH3-N)、总磷(TP)、总氮(TN)、水温、电导率等。2. 分钟/小时级聚合数据：均值、最大值、最小值。3. 状态标识：数据状态（正常、异常、无效）、设备状态。4. 预警标识：是否超标、超标因子、超标倍数。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数字型、字符型、坐标型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智慧管理系统-水质监测</w:t>
            </w:r>
            <w:r>
              <w:rPr>
                <w:rStyle w:val="33"/>
                <w:rFonts w:hint="default" w:asciiTheme="minorAscii" w:hAnsiTheme="minorAscii" w:eastAsiaTheme="minorEastAsia" w:cstheme="minorEastAsia"/>
                <w:sz w:val="18"/>
                <w:szCs w:val="18"/>
                <w:lang w:val="en-US" w:eastAsia="zh-CN" w:bidi="ar"/>
              </w:rPr>
              <w:t>：数据接入 (多协议适配)、实时数据接收与解析。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实时/分钟级</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8"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湖泊水文数据</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实时数据：断面/站点ID、坐标、时间戳、水位、流速、流量、水温。2. 对比数据：昨日同期流量、变化百分比。3. 统计特征：日均流量、月均流量、瞬时峰值。4. 预警数据：流量异常事件标识（骤升/骤降/超限）。</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数字型、坐标型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智慧管理系统-流量/水位监测</w:t>
            </w:r>
            <w:r>
              <w:rPr>
                <w:rStyle w:val="33"/>
                <w:rFonts w:hint="default" w:asciiTheme="minorAscii" w:hAnsiTheme="minorAscii" w:eastAsiaTheme="minorEastAsia" w:cstheme="minorEastAsia"/>
                <w:sz w:val="18"/>
                <w:szCs w:val="18"/>
                <w:lang w:val="en-US" w:eastAsia="zh-CN" w:bidi="ar"/>
              </w:rPr>
              <w:t>：流量数据接入与清洗、水位数据接入与清洗。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实时</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8"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水质统计与预测数据</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时空统计：指定区域、时段内各水质参数的均值、极值、达标率。2. 趋势数据：关键指标近7天/30天历史趋势序列数据。3. 预测数据：未来N小时/天的水质指标预测值及置信区间。</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数字型、统计型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智慧管理系统-水质监测</w:t>
            </w:r>
            <w:r>
              <w:rPr>
                <w:rStyle w:val="33"/>
                <w:rFonts w:hint="default" w:asciiTheme="minorAscii" w:hAnsiTheme="minorAscii" w:eastAsiaTheme="minorEastAsia" w:cstheme="minorEastAsia"/>
                <w:sz w:val="18"/>
                <w:szCs w:val="18"/>
                <w:lang w:val="en-US" w:eastAsia="zh-CN" w:bidi="ar"/>
              </w:rPr>
              <w:t>：多维统计分析、水质模拟与预测。</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每日/触发计算</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5" w:hRule="atLeast"/>
        </w:trPr>
        <w:tc>
          <w:tcPr>
            <w:tcW w:w="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2</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视频与图像数据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湖泊监控视频</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视频流地址：RTMP、FLV、HLS等格式的流媒体访问URL。2. 视频源元数据：摄像头ID、名称、坐标、所属区域、品牌型号、协议。3. 快照地址：当前画面的高频率（如5秒/张）图片快照URL。</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视频流、字符型、坐标型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智慧管理系统-视频综合应用</w:t>
            </w:r>
            <w:r>
              <w:rPr>
                <w:rStyle w:val="33"/>
                <w:rFonts w:hint="default" w:asciiTheme="minorAscii" w:hAnsiTheme="minorAscii" w:eastAsiaTheme="minorEastAsia" w:cstheme="minorEastAsia"/>
                <w:sz w:val="18"/>
                <w:szCs w:val="18"/>
                <w:lang w:val="en-US" w:eastAsia="zh-CN" w:bidi="ar"/>
              </w:rPr>
              <w:t>：视频设备接入与管理、高清多路实时预览。</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实时/持续</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巡航影像数据</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正射影像：无人机航拍处理后的GeoTIFF格式正射影像文件或瓦片服务地址。2. 元数据：任务ID、飞行时间、航高、分辨率、覆盖范围、传感器类型。</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图像、空间数据</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智慧管理系统-无人机巡航</w:t>
            </w:r>
            <w:r>
              <w:rPr>
                <w:rStyle w:val="33"/>
                <w:rFonts w:hint="default" w:asciiTheme="minorAscii" w:hAnsiTheme="minorAscii" w:eastAsiaTheme="minorEastAsia" w:cstheme="minorEastAsia"/>
                <w:sz w:val="18"/>
                <w:szCs w:val="18"/>
                <w:lang w:val="en-US" w:eastAsia="zh-CN" w:bidi="ar"/>
              </w:rPr>
              <w:t>：采集数据（影像/视频）管理。</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定期/按任务</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8"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智能识别事件</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事件详情：事件ID、类型（漂浮物、钓鱼、游泳、烟火、违停等）、置信度、发生时间、摄像头ID。2. 位置信息：事件在画面中的像素坐标或地理坐标（若可映射）。3. 证据快照：关联的告警截图或短视频片段URL。4. 处置状态：未处理、已确认、误报、已处置。</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字符型、坐标型、时间型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AI支撑系统</w:t>
            </w:r>
            <w:r>
              <w:rPr>
                <w:rStyle w:val="33"/>
                <w:rFonts w:hint="default" w:asciiTheme="minorAscii" w:hAnsiTheme="minorAscii" w:eastAsiaTheme="minorEastAsia" w:cstheme="minorEastAsia"/>
                <w:sz w:val="18"/>
                <w:szCs w:val="18"/>
                <w:lang w:val="en-US" w:eastAsia="zh-CN" w:bidi="ar"/>
              </w:rPr>
              <w:t xml:space="preserve"> (各监测模块) &amp; 智慧管理系统-视频智能预警中心：告警接入与统一展示。</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实时/事件驱动</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3</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生态环境数据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空气质量数据</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实时监测：站点ID、坐标、时间戳、AQI、PM2.5、PM10、SO₂、NO₂、O₃、CO浓度。2. 预报数据：未来24-72小时空气质量等级及主要污染物预报。3. 统计报表：日均值、月均值、优良天数统计。</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数字型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智慧管理系统-气象及空气质量监测</w:t>
            </w:r>
            <w:r>
              <w:rPr>
                <w:rStyle w:val="33"/>
                <w:rFonts w:hint="default" w:asciiTheme="minorAscii" w:hAnsiTheme="minorAscii" w:eastAsiaTheme="minorEastAsia" w:cstheme="minorEastAsia"/>
                <w:sz w:val="18"/>
                <w:szCs w:val="18"/>
                <w:lang w:val="en-US" w:eastAsia="zh-CN" w:bidi="ar"/>
              </w:rPr>
              <w:t>：自建气象站数据接入、空气质量数据接入与分析。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实时/小时</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气象数据</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实时气象：温度、湿度、风速、风向、气压、降雨量（实时/累计）。2. 天气预报：短期天气预报信息。3. 灾害预警：暴雨、大风等灾害性天气预警信号。</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数字型、文本型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智慧管理系统-气象及空气质量监测</w:t>
            </w:r>
            <w:r>
              <w:rPr>
                <w:rStyle w:val="33"/>
                <w:rFonts w:hint="default" w:asciiTheme="minorAscii" w:hAnsiTheme="minorAscii" w:eastAsiaTheme="minorEastAsia" w:cstheme="minorEastAsia"/>
                <w:sz w:val="18"/>
                <w:szCs w:val="18"/>
                <w:lang w:val="en-US" w:eastAsia="zh-CN" w:bidi="ar"/>
              </w:rPr>
              <w:t>：气象要素统计、灾害天气影响评估。</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实时/小时</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8"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车流与人流数据</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车流量：卡口ID、坐标、时段、通过车辆数、车牌（可脱敏）、车型分类。2. 客流热度：区域ID（如景点）、实时客流量估算、热力图格网数据。3. 来源分析：游客手机信号（匿名）来源地分布统计。</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数字型、统计型、坐标型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智慧管理系统-视频综合应用</w:t>
            </w:r>
            <w:r>
              <w:rPr>
                <w:rStyle w:val="33"/>
                <w:rFonts w:hint="default" w:asciiTheme="minorAscii" w:hAnsiTheme="minorAscii" w:eastAsiaTheme="minorEastAsia" w:cstheme="minorEastAsia"/>
                <w:sz w:val="18"/>
                <w:szCs w:val="18"/>
                <w:lang w:val="en-US" w:eastAsia="zh-CN" w:bidi="ar"/>
              </w:rPr>
              <w:t xml:space="preserve"> (AI识别) &amp; 智慧导览系统-运营监控：人车物属性识别、实时热力图监控。</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实时/小时级</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8" w:hRule="atLeast"/>
        </w:trPr>
        <w:tc>
          <w:tcPr>
            <w:tcW w:w="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4</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业务过程数据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监察督办任务</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44"/>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Style w:val="33"/>
                <w:rFonts w:hint="default" w:asciiTheme="minorAscii" w:hAnsiTheme="minorAscii" w:eastAsiaTheme="minorEastAsia" w:cstheme="minorEastAsia"/>
                <w:sz w:val="18"/>
                <w:szCs w:val="18"/>
                <w:lang w:val="en-US" w:eastAsia="zh-CN" w:bidi="ar"/>
              </w:rPr>
            </w:pPr>
            <w:r>
              <w:rPr>
                <w:rStyle w:val="33"/>
                <w:rFonts w:hint="default" w:asciiTheme="minorAscii" w:hAnsiTheme="minorAscii" w:eastAsiaTheme="minorEastAsia" w:cstheme="minorEastAsia"/>
                <w:sz w:val="18"/>
                <w:szCs w:val="18"/>
                <w:lang w:val="en-US" w:eastAsia="zh-CN" w:bidi="ar"/>
              </w:rPr>
              <w:t>任务单：任务ID、标题、问题描述、问题来源（AI/上报/指令）、关联事件ID、坐标。</w:t>
            </w:r>
          </w:p>
          <w:p>
            <w:pPr>
              <w:keepNext w:val="0"/>
              <w:keepLines w:val="0"/>
              <w:pageBreakBefore w:val="0"/>
              <w:widowControl/>
              <w:numPr>
                <w:ilvl w:val="0"/>
                <w:numId w:val="44"/>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Style w:val="33"/>
                <w:rFonts w:hint="default" w:asciiTheme="minorAscii" w:hAnsiTheme="minorAscii" w:eastAsiaTheme="minorEastAsia" w:cstheme="minorEastAsia"/>
                <w:sz w:val="18"/>
                <w:szCs w:val="18"/>
                <w:lang w:val="en-US" w:eastAsia="zh-CN" w:bidi="ar"/>
              </w:rPr>
              <w:t>流程信息：创建时间、要求完成时限、责任单位/人、当前状态（待派发/处理中/待审核/已完成/超时）、当前处理人。</w:t>
            </w:r>
          </w:p>
          <w:p>
            <w:pPr>
              <w:keepNext w:val="0"/>
              <w:keepLines w:val="0"/>
              <w:pageBreakBefore w:val="0"/>
              <w:widowControl/>
              <w:numPr>
                <w:ilvl w:val="0"/>
                <w:numId w:val="44"/>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Style w:val="33"/>
                <w:rFonts w:hint="default" w:asciiTheme="minorAscii" w:hAnsiTheme="minorAscii" w:eastAsiaTheme="minorEastAsia" w:cstheme="minorEastAsia"/>
                <w:sz w:val="18"/>
                <w:szCs w:val="18"/>
                <w:lang w:val="en-US" w:eastAsia="zh-CN" w:bidi="ar"/>
              </w:rPr>
              <w:t>处置记录：各环节处理时间、人员、操作记录、现场照片/视频证据URL。</w:t>
            </w:r>
          </w:p>
          <w:p>
            <w:pPr>
              <w:keepNext w:val="0"/>
              <w:keepLines w:val="0"/>
              <w:pageBreakBefore w:val="0"/>
              <w:widowControl/>
              <w:numPr>
                <w:ilvl w:val="0"/>
                <w:numId w:val="44"/>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Style w:val="33"/>
                <w:rFonts w:hint="default" w:asciiTheme="minorAscii" w:hAnsiTheme="minorAscii" w:eastAsiaTheme="minorEastAsia" w:cstheme="minorEastAsia"/>
                <w:sz w:val="18"/>
                <w:szCs w:val="18"/>
                <w:lang w:val="en-US" w:eastAsia="zh-CN" w:bidi="ar"/>
              </w:rPr>
              <w:t>结果信息：完成报告、审核意见、关闭时间。</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字符型、日期型、文本型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多维协同系统-协同管控</w:t>
            </w:r>
            <w:r>
              <w:rPr>
                <w:rStyle w:val="33"/>
                <w:rFonts w:hint="default" w:asciiTheme="minorAscii" w:hAnsiTheme="minorAscii" w:eastAsiaTheme="minorEastAsia" w:cstheme="minorEastAsia"/>
                <w:sz w:val="18"/>
                <w:szCs w:val="18"/>
                <w:lang w:val="en-US" w:eastAsia="zh-CN" w:bidi="ar"/>
              </w:rPr>
              <w:t>：问题排查与任务管理全流程。</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人工触发/状态变更</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指挥调度指令</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45"/>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Style w:val="33"/>
                <w:rFonts w:hint="default" w:asciiTheme="minorAscii" w:hAnsiTheme="minorAscii" w:eastAsiaTheme="minorEastAsia" w:cstheme="minorEastAsia"/>
                <w:sz w:val="18"/>
                <w:szCs w:val="18"/>
                <w:lang w:val="en-US" w:eastAsia="zh-CN" w:bidi="ar"/>
              </w:rPr>
            </w:pPr>
            <w:r>
              <w:rPr>
                <w:rStyle w:val="33"/>
                <w:rFonts w:hint="default" w:asciiTheme="minorAscii" w:hAnsiTheme="minorAscii" w:eastAsiaTheme="minorEastAsia" w:cstheme="minorEastAsia"/>
                <w:sz w:val="18"/>
                <w:szCs w:val="18"/>
                <w:lang w:val="en-US" w:eastAsia="zh-CN" w:bidi="ar"/>
              </w:rPr>
              <w:t>指令单：指令ID、指令类型（语音/消息/任务）、发送方、接收方（个人/群组）、优先级。</w:t>
            </w:r>
          </w:p>
          <w:p>
            <w:pPr>
              <w:keepNext w:val="0"/>
              <w:keepLines w:val="0"/>
              <w:pageBreakBefore w:val="0"/>
              <w:widowControl/>
              <w:numPr>
                <w:ilvl w:val="0"/>
                <w:numId w:val="45"/>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Style w:val="33"/>
                <w:rFonts w:hint="default" w:asciiTheme="minorAscii" w:hAnsiTheme="minorAscii" w:eastAsiaTheme="minorEastAsia" w:cstheme="minorEastAsia"/>
                <w:sz w:val="18"/>
                <w:szCs w:val="18"/>
                <w:lang w:val="en-US" w:eastAsia="zh-CN" w:bidi="ar"/>
              </w:rPr>
              <w:t>内容信息：指令正文、关联任务ID、关联资源（地图位置、视频源）。</w:t>
            </w:r>
          </w:p>
          <w:p>
            <w:pPr>
              <w:keepNext w:val="0"/>
              <w:keepLines w:val="0"/>
              <w:pageBreakBefore w:val="0"/>
              <w:widowControl/>
              <w:numPr>
                <w:ilvl w:val="0"/>
                <w:numId w:val="45"/>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Style w:val="33"/>
                <w:rFonts w:hint="default" w:asciiTheme="minorAscii" w:hAnsiTheme="minorAscii" w:eastAsiaTheme="minorEastAsia" w:cstheme="minorEastAsia"/>
                <w:sz w:val="18"/>
                <w:szCs w:val="18"/>
                <w:lang w:val="en-US" w:eastAsia="zh-CN" w:bidi="ar"/>
              </w:rPr>
              <w:t>状态跟踪：发送时间、送达状态、已读状态、回复/回执内容、完成状态。</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字符型、时间型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指挥调度系统-指令台/消息指令</w:t>
            </w:r>
            <w:r>
              <w:rPr>
                <w:rStyle w:val="33"/>
                <w:rFonts w:hint="default" w:asciiTheme="minorAscii" w:hAnsiTheme="minorAscii" w:eastAsiaTheme="minorEastAsia" w:cstheme="minorEastAsia"/>
                <w:sz w:val="18"/>
                <w:szCs w:val="18"/>
                <w:lang w:val="en-US" w:eastAsia="zh-CN" w:bidi="ar"/>
              </w:rPr>
              <w:t xml:space="preserve"> &amp; 融合通讯：语音通讯与消息指令下发。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人工触发</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5"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信息发布内容</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46"/>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Style w:val="33"/>
                <w:rFonts w:hint="default" w:asciiTheme="minorAscii" w:hAnsiTheme="minorAscii" w:eastAsiaTheme="minorEastAsia" w:cstheme="minorEastAsia"/>
                <w:sz w:val="18"/>
                <w:szCs w:val="18"/>
                <w:lang w:val="en-US" w:eastAsia="zh-CN" w:bidi="ar"/>
              </w:rPr>
            </w:pPr>
            <w:r>
              <w:rPr>
                <w:rStyle w:val="33"/>
                <w:rFonts w:hint="default" w:asciiTheme="minorAscii" w:hAnsiTheme="minorAscii" w:eastAsiaTheme="minorEastAsia" w:cstheme="minorEastAsia"/>
                <w:sz w:val="18"/>
                <w:szCs w:val="18"/>
                <w:lang w:val="en-US" w:eastAsia="zh-CN" w:bidi="ar"/>
              </w:rPr>
              <w:t>发布物：信息ID、标题、正文、类型（新闻/公告/预警）、发布单位、发布时间、有效期。</w:t>
            </w:r>
          </w:p>
          <w:p>
            <w:pPr>
              <w:keepNext w:val="0"/>
              <w:keepLines w:val="0"/>
              <w:pageBreakBefore w:val="0"/>
              <w:widowControl/>
              <w:numPr>
                <w:ilvl w:val="0"/>
                <w:numId w:val="46"/>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Style w:val="33"/>
                <w:rFonts w:hint="default" w:asciiTheme="minorAscii" w:hAnsiTheme="minorAscii" w:eastAsiaTheme="minorEastAsia" w:cstheme="minorEastAsia"/>
                <w:sz w:val="18"/>
                <w:szCs w:val="18"/>
                <w:lang w:val="en-US" w:eastAsia="zh-CN" w:bidi="ar"/>
              </w:rPr>
              <w:t>多媒体：封面图URL、正文内嵌图片/视频URL。</w:t>
            </w:r>
          </w:p>
          <w:p>
            <w:pPr>
              <w:keepNext w:val="0"/>
              <w:keepLines w:val="0"/>
              <w:pageBreakBefore w:val="0"/>
              <w:widowControl/>
              <w:numPr>
                <w:ilvl w:val="0"/>
                <w:numId w:val="46"/>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Style w:val="33"/>
                <w:rFonts w:hint="default" w:asciiTheme="minorAscii" w:hAnsiTheme="minorAscii" w:eastAsiaTheme="minorEastAsia" w:cstheme="minorEastAsia"/>
                <w:sz w:val="18"/>
                <w:szCs w:val="18"/>
                <w:lang w:val="en-US" w:eastAsia="zh-CN" w:bidi="ar"/>
              </w:rPr>
              <w:t>发布对象：目标受众（全体游客/指定区域/LBS推送）。</w:t>
            </w:r>
          </w:p>
          <w:p>
            <w:pPr>
              <w:keepNext w:val="0"/>
              <w:keepLines w:val="0"/>
              <w:pageBreakBefore w:val="0"/>
              <w:widowControl/>
              <w:numPr>
                <w:ilvl w:val="0"/>
                <w:numId w:val="46"/>
              </w:numPr>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Style w:val="33"/>
                <w:rFonts w:hint="default" w:asciiTheme="minorAscii" w:hAnsiTheme="minorAscii" w:eastAsiaTheme="minorEastAsia" w:cstheme="minorEastAsia"/>
                <w:sz w:val="18"/>
                <w:szCs w:val="18"/>
                <w:lang w:val="en-US" w:eastAsia="zh-CN" w:bidi="ar"/>
              </w:rPr>
              <w:t>反馈统计：阅读量、确认回执数。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文本型、时间型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智慧管理系统-信息发布</w:t>
            </w:r>
            <w:r>
              <w:rPr>
                <w:rStyle w:val="33"/>
                <w:rFonts w:hint="default" w:asciiTheme="minorAscii" w:hAnsiTheme="minorAscii" w:eastAsiaTheme="minorEastAsia" w:cstheme="minorEastAsia"/>
                <w:sz w:val="18"/>
                <w:szCs w:val="18"/>
                <w:lang w:val="en-US" w:eastAsia="zh-CN" w:bidi="ar"/>
              </w:rPr>
              <w:t>：素材管理与节目编排发布。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人工触发</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0" w:hRule="atLeast"/>
        </w:trPr>
        <w:tc>
          <w:tcPr>
            <w:tcW w:w="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5</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物联设备与空间数据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IoT设备状态数据</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设备档案：设备ID、名称、类型（水质仪/摄像头/水位计）、型号、SN码、坐标、所属区域、责任人。2. 运行状态：在线/离线、信号强度、电量、主要参数（如摄像头码流、存储剩余）。3. 健康告警：故障代码、告警信息（信号丢失、数据异常、存储满）、产生时间。</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字符型、布尔型、数字型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运维系统-设备监控</w:t>
            </w:r>
            <w:r>
              <w:rPr>
                <w:rStyle w:val="33"/>
                <w:rFonts w:hint="default" w:asciiTheme="minorAscii" w:hAnsiTheme="minorAscii" w:eastAsiaTheme="minorEastAsia" w:cstheme="minorEastAsia"/>
                <w:sz w:val="18"/>
                <w:szCs w:val="18"/>
                <w:lang w:val="en-US" w:eastAsia="zh-CN" w:bidi="ar"/>
              </w:rPr>
              <w:t xml:space="preserve"> &amp; 物联支撑系统：设备资产档案管理、设备认证与状态监控。</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实时/定期</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基础地理信息</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矢量图层：湖泊水库边界、等高线、行政区划、道路、建筑、监测点位、设施点位等Shapefile或GeoJSON数据。2. 影像底图：最新的正射影像瓦片服务地址。3. 属性信息：所有地理要素的名称、ID、类型、所属管理等属性表</w:t>
            </w:r>
            <w:bookmarkStart w:id="239" w:name="_GoBack"/>
            <w:bookmarkEnd w:id="239"/>
            <w:r>
              <w:rPr>
                <w:rStyle w:val="33"/>
                <w:rFonts w:hint="default" w:asciiTheme="minorAscii" w:hAnsiTheme="minorAscii" w:eastAsiaTheme="minorEastAsia" w:cstheme="minorEastAsia"/>
                <w:sz w:val="18"/>
                <w:szCs w:val="18"/>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空间数据、字符型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智慧管理系统-数据服务 (GIS服务)</w:t>
            </w:r>
            <w:r>
              <w:rPr>
                <w:rStyle w:val="33"/>
                <w:rFonts w:hint="default" w:asciiTheme="minorAscii" w:hAnsiTheme="minorAscii" w:eastAsiaTheme="minorEastAsia" w:cstheme="minorEastAsia"/>
                <w:sz w:val="18"/>
                <w:szCs w:val="18"/>
                <w:lang w:val="en-US" w:eastAsia="zh-CN" w:bidi="ar"/>
              </w:rPr>
              <w:t xml:space="preserve"> &amp; 应用支撑系统-地图服务发布：空间数据管理与服务发布。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静态/季度或年度更新</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8" w:hRule="atLeast"/>
        </w:trPr>
        <w:tc>
          <w:tcPr>
            <w:tcW w:w="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6</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移动端数据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现场巡查上报</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巡查记录：记录ID、巡查人、巡查时间、巡查轨迹（GPS点序列）。2. 上报内容：问题类型、文字描述、现场照片/视频URL、问题位置坐标。3. 关联信息：自动关联的附近设备状态、关联的任务ID（若由任务触发）。</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坐标型、文本型、图像</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全业务移动端-协同管控</w:t>
            </w:r>
            <w:r>
              <w:rPr>
                <w:rStyle w:val="33"/>
                <w:rFonts w:hint="default" w:asciiTheme="minorAscii" w:hAnsiTheme="minorAscii" w:eastAsiaTheme="minorEastAsia" w:cstheme="minorEastAsia"/>
                <w:sz w:val="18"/>
                <w:szCs w:val="18"/>
                <w:lang w:val="en-US" w:eastAsia="zh-CN" w:bidi="ar"/>
              </w:rPr>
              <w:t>：移动巡检与问题上报。</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人工触发</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0" w:hRule="atLeast"/>
        </w:trPr>
        <w:tc>
          <w:tcPr>
            <w:tcW w:w="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firstLine="0" w:firstLineChars="0"/>
              <w:jc w:val="center"/>
              <w:rPr>
                <w:rFonts w:hint="default" w:asciiTheme="minorAscii" w:hAnsiTheme="minorAscii" w:eastAsiaTheme="minorEastAsia" w:cstheme="minorEastAsia"/>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应急资源数据</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 xml:space="preserve">1. </w:t>
            </w:r>
            <w:r>
              <w:rPr>
                <w:rStyle w:val="33"/>
                <w:rFonts w:hint="default" w:asciiTheme="minorAscii" w:hAnsiTheme="minorAscii" w:eastAsiaTheme="minorEastAsia" w:cstheme="minorEastAsia"/>
                <w:sz w:val="18"/>
                <w:szCs w:val="18"/>
                <w:lang w:val="en-US" w:eastAsia="zh-CN" w:bidi="ar"/>
              </w:rPr>
              <w:t>资源台账：资源ID、名称（冲锋舟、救生圈、物资等）、类型、存放位置坐标、数量、状态（可用/已领用/维修）。2. 领用记录：领用单号、资源ID、领用人、领用时间、预计归还时间、用途。</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字符型、数字型、坐标型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both"/>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全业务移动端-调度响应</w:t>
            </w:r>
            <w:r>
              <w:rPr>
                <w:rStyle w:val="33"/>
                <w:rFonts w:hint="default" w:asciiTheme="minorAscii" w:hAnsiTheme="minorAscii" w:eastAsiaTheme="minorEastAsia" w:cstheme="minorEastAsia"/>
                <w:sz w:val="18"/>
                <w:szCs w:val="18"/>
                <w:lang w:val="en-US" w:eastAsia="zh-CN" w:bidi="ar"/>
              </w:rPr>
              <w:t>：应急资源库查询与申领。</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人工触发/状态变更</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0" w:firstLineChars="0"/>
              <w:jc w:val="center"/>
              <w:textAlignment w:val="center"/>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r>
    </w:tbl>
    <w:p>
      <w:pPr>
        <w:pStyle w:val="5"/>
        <w:keepNext/>
        <w:keepLines/>
        <w:pageBreakBefore w:val="0"/>
        <w:widowControl w:val="0"/>
        <w:kinsoku/>
        <w:wordWrap/>
        <w:overflowPunct/>
        <w:topLinePunct w:val="0"/>
        <w:autoSpaceDE/>
        <w:autoSpaceDN/>
        <w:bidi w:val="0"/>
        <w:adjustRightInd/>
        <w:snapToGrid w:val="0"/>
        <w:spacing w:before="499" w:beforeLines="150"/>
        <w:textAlignment w:val="bottom"/>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非信息资源共享及其依据(按需提供)</w:t>
      </w:r>
    </w:p>
    <w:tbl>
      <w:tblPr>
        <w:tblStyle w:val="18"/>
        <w:tblW w:w="892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9"/>
        <w:gridCol w:w="1810"/>
        <w:gridCol w:w="820"/>
        <w:gridCol w:w="5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blHeader/>
        </w:trPr>
        <w:tc>
          <w:tcPr>
            <w:tcW w:w="4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序号</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信息项名称</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b/>
                <w:bCs/>
                <w:i w:val="0"/>
                <w:iCs w:val="0"/>
                <w:color w:val="000000"/>
                <w:kern w:val="0"/>
                <w:sz w:val="18"/>
                <w:szCs w:val="18"/>
                <w:u w:val="none"/>
                <w:lang w:val="en-US" w:eastAsia="zh-CN" w:bidi="ar"/>
              </w:rPr>
            </w:pPr>
            <w:r>
              <w:rPr>
                <w:rFonts w:hint="default" w:asciiTheme="minorAscii" w:hAnsiTheme="minorAscii" w:eastAsiaTheme="minorEastAsia" w:cstheme="minorEastAsia"/>
                <w:b/>
                <w:bCs/>
                <w:i w:val="0"/>
                <w:iCs w:val="0"/>
                <w:color w:val="000000"/>
                <w:kern w:val="0"/>
                <w:sz w:val="18"/>
                <w:szCs w:val="18"/>
                <w:u w:val="none"/>
                <w:lang w:val="en-US" w:eastAsia="zh-CN" w:bidi="ar"/>
              </w:rPr>
              <w:t>共享</w:t>
            </w:r>
          </w:p>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属性</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b/>
                <w:bCs/>
                <w:i w:val="0"/>
                <w:iCs w:val="0"/>
                <w:color w:val="000000"/>
                <w:sz w:val="18"/>
                <w:szCs w:val="18"/>
                <w:u w:val="none"/>
              </w:rPr>
            </w:pPr>
            <w:r>
              <w:rPr>
                <w:rFonts w:hint="default" w:asciiTheme="minorAscii" w:hAnsiTheme="minorAscii" w:eastAsiaTheme="minorEastAsia" w:cstheme="minorEastAsia"/>
                <w:b/>
                <w:bCs/>
                <w:i w:val="0"/>
                <w:iCs w:val="0"/>
                <w:color w:val="000000"/>
                <w:kern w:val="0"/>
                <w:sz w:val="18"/>
                <w:szCs w:val="18"/>
                <w:u w:val="none"/>
                <w:lang w:val="en-US" w:eastAsia="zh-CN" w:bidi="ar"/>
              </w:rPr>
              <w:t>不予/有条件共享的理由和依据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湖泊监控视频流</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理由：属于关键基础设施和公共安全区域的实时音像记录，连续、无差别共享存在以下风险：1. 大规模占用网络带宽，影响核心业务系统性能；2. 存在被用于窥探公共安全布防、设施运行状态等安全风险；3. 可能侵犯无意中入镜公民的个人隐私（如人脸、车牌）。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依据：根据《中华人民共和国网络安全法》第二十一条、第四十一条，以及《公共安全视频图像信息系统管理条例》第十四条、第十五条，对公共安全视频图像信息的收集、使用、存储和提供有严格规定，强调“</w:t>
            </w:r>
            <w:r>
              <w:rPr>
                <w:rStyle w:val="34"/>
                <w:rFonts w:hint="default" w:asciiTheme="minorAscii" w:hAnsiTheme="minorAscii" w:eastAsiaTheme="minorEastAsia" w:cstheme="minorEastAsia"/>
                <w:sz w:val="18"/>
                <w:szCs w:val="18"/>
                <w:lang w:val="en-US" w:eastAsia="zh-CN" w:bidi="ar"/>
              </w:rPr>
              <w:t>合法、正当、必要</w:t>
            </w:r>
            <w:r>
              <w:rPr>
                <w:rFonts w:hint="default" w:asciiTheme="minorAscii" w:hAnsiTheme="minorAscii" w:eastAsiaTheme="minorEastAsia" w:cstheme="minorEastAsia"/>
                <w:i w:val="0"/>
                <w:iCs w:val="0"/>
                <w:color w:val="000000"/>
                <w:kern w:val="0"/>
                <w:sz w:val="18"/>
                <w:szCs w:val="18"/>
                <w:u w:val="none"/>
                <w:lang w:val="en-US" w:eastAsia="zh-CN" w:bidi="ar"/>
              </w:rPr>
              <w:t>”</w:t>
            </w:r>
            <w:r>
              <w:rPr>
                <w:rStyle w:val="34"/>
                <w:rFonts w:hint="default" w:asciiTheme="minorAscii" w:hAnsiTheme="minorAscii" w:eastAsiaTheme="minorEastAsia" w:cstheme="minorEastAsia"/>
                <w:sz w:val="18"/>
                <w:szCs w:val="18"/>
                <w:lang w:val="en-US" w:eastAsia="zh-CN" w:bidi="ar"/>
              </w:rPr>
              <w:t>原则。共享应限定在特定主体（如公安、应急管理、水务监察部门）为履行法定职责（如案件侦查、突发事件处置、行政执法）所需的特定时间与空间范围内。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2</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指挥调度指令</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理由：本数据为内部应急处置与协同作业的核心过程记录，具有高度的敏感性、实时性和内部性。无条件共享可能：1. 干扰实时指挥决策，降低应急响应效率；2. 暴露内部工作流程、资源部署等敏感信息；3. 不当解读可能引发社会误读或恐慌。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3"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参照《中华人民共和国政府信息公开条例》第十六条，行政机关的内部事务信息、过程性信息，可以不予公开。对外共享需基于明确的协同处置需求，与协同单位（如上级指挥中心、关联应急部门）签订保密协议和数据共享协议，限定用途为“联合应急指挥与事后复盘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3</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设备状态数据（IoT设备）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理由：该数据属于系统运行维护的核心敏感信息，反映了平台物联感知层的实时健康度和潜在脆弱性。无条件共享可能：1. 暴露网络拓扑、设备型号、部署位置等系统资产信息；2. 揭示设备离线、故障等安全防护薄弱环节；3. 可能被用于发起更具针对性的网络攻击。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依据：依据《网络安全等级保护基本要求》（GB/T 22239）中关于安全审计和入侵防范的要求，关键基础设施的运维日志、资产状态信息应严格管理。可向设备供应商（用于远程诊断）、上级运维监管平台共享，但必须基于最小必要原则，签订包含安全保密条款的服务协议或共享协议，并实施数据脱敏（如模糊具体IP、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4</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车流量与人流数据</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理由：该数据通过视频分析等技术采集，与公共安全、个人隐私及商业运营密切相关。未经处理直接共享可能：1. 涉及特定区域、时段的公众出行规律，存在隐私泄露风险；2. 客流热力图等数据属于景区运营核心商业信息；3. 部分车流数据可能关联交通管理。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根据《个人信息保护法》关于“去标识化处理”的规定，共享前需对数据进行聚合、去标识化处理（如不提供个体轨迹，只提供区域级统计人数）。可向文旅部门（用于客流调控）、交通管理部门（用于区域交通疏导）、科研机构（用于匿名化研究）共享聚合后的统计数据，并需签订协议明确禁止数据复原和用于其他用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5</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监察督办任务详情</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理由：包含内部管理流程、责任划分、问题细节及处置过程，属于过程性管理和内部监察信息。无条件共享可能：1. 影响内部管理效率，导致责任单位在问题上报时有所顾虑；2. 暴露尚未核实的举报信息或内部工作瑕疵；3. 涉及对具体企业或个人的监管信息。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依据《政府信息公开条例》关于过程性信息和内部管理信息的规定。可向任务的直接相关方（如协同处置的其他政府部门、被督查单位上级）或审计、纪检监察部门，在特定案件或督查工作需要时，依申请有条件共享，并需遵守相关保密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8"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6</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无人机巡航原始影像</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理由：高分辨率航空影像包含丰富的地理细节，可能涉及敏感设施、国家安全相关要素及个人财产信息（如住宅）。未经审批直接共享存在国家安全和数据安全风险。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0"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严格遵守《测绘法》和《遥感影像公开使用管理规定》，无人机航拍成果属于遥感影像，其公开和使用需进行保密技术处理（如坐标偏移、敏感区域模糊）。共享对象通常限定于具有相应资质的规划、环保、自然资源等业务部门，用于专项工作，并需履行内部审批程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7</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统一组织架构与人员数据</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有条件共享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理由：包含完整的部门、岗位及人员信息，是系统权限和内部通讯的基础。直接共享存在内部管理信息泄露和社工攻击风险。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属于典型的内部管理信息。仅在系统级对接（如与市级统一身份认证平台、政务OA系统）时，为实现单点登录和组织架构同步的必要目的下共享。需通过严格的API接口鉴权和技术保障，确保数据在安全通道内传输，并约定不得用于其他任何目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8</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慢直播频道流</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理由：该数据为面向公众宣传景区风光、展示生态环境的公开媒体内容，设计初衷即为广泛传播，不包含敏感信息。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依据：符合《政府信息公开条例》中“以公开为常态、不公开为例外”的原则，属于主动公开的公共服务信息。可通过景区官网、主流视频平台等渠道直接发布，无需额外设置共享条件。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9</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水质/空气质量实时监测数据</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理由：属于公共环境质量信息，事关公众健康知情权与环境监督权，公开透明是常态要求。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依据：根据《环境保护法》第五十三条及《环境信息公开办法》，环境质量监测信息应当依法公开。此类数据应向公众、科研机构、其他政府部门无条件共享，可通过数据开放平台、API接口等形式提供。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5" w:hRule="atLeast"/>
        </w:trPr>
        <w:tc>
          <w:tcPr>
            <w:tcW w:w="4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10</w:t>
            </w: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基础地理信息（已脱密）</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无条件共享</w:t>
            </w: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理由：经过合规处理的行政区划、湖泊边界、公开设施点位等基础矢量数据，是众多业务应用的空间基底，具有高复用价值。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4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rPr>
                <w:rFonts w:hint="default" w:asciiTheme="minorAscii" w:hAnsiTheme="minorAscii" w:eastAsiaTheme="minorEastAsia" w:cstheme="minorEastAsia"/>
                <w:i w:val="0"/>
                <w:iCs w:val="0"/>
                <w:color w:val="000000"/>
                <w:sz w:val="18"/>
                <w:szCs w:val="18"/>
                <w:u w:val="none"/>
              </w:rPr>
            </w:pPr>
          </w:p>
        </w:tc>
        <w:tc>
          <w:tcPr>
            <w:tcW w:w="5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320" w:lineRule="exact"/>
              <w:ind w:firstLine="0" w:firstLineChars="0"/>
              <w:jc w:val="left"/>
              <w:textAlignment w:val="bottom"/>
              <w:rPr>
                <w:rFonts w:hint="default" w:asciiTheme="minorAscii" w:hAnsiTheme="minorAscii" w:eastAsiaTheme="minorEastAsia" w:cstheme="minorEastAsia"/>
                <w:i w:val="0"/>
                <w:iCs w:val="0"/>
                <w:color w:val="000000"/>
                <w:sz w:val="18"/>
                <w:szCs w:val="18"/>
                <w:u w:val="none"/>
              </w:rPr>
            </w:pPr>
            <w:r>
              <w:rPr>
                <w:rFonts w:hint="default" w:asciiTheme="minorAscii" w:hAnsiTheme="minorAscii" w:eastAsiaTheme="minorEastAsia" w:cstheme="minorEastAsia"/>
                <w:i w:val="0"/>
                <w:iCs w:val="0"/>
                <w:color w:val="000000"/>
                <w:kern w:val="0"/>
                <w:sz w:val="18"/>
                <w:szCs w:val="18"/>
                <w:u w:val="none"/>
                <w:lang w:val="en-US" w:eastAsia="zh-CN" w:bidi="ar"/>
              </w:rPr>
              <w:t>依据：符合国家关于促进地理信息资源共享和应用的方针政策。经过保密处理后的基础地理信息可作为公共基底数据，纳入市、区级数据资源目录，向社会各界无条件提供，以促进跨部门业务协同和公众服务应用开发。</w:t>
            </w:r>
          </w:p>
        </w:tc>
      </w:tr>
    </w:tbl>
    <w:p>
      <w:pPr>
        <w:pStyle w:val="5"/>
        <w:keepNext/>
        <w:keepLines/>
        <w:pageBreakBefore w:val="0"/>
        <w:widowControl w:val="0"/>
        <w:kinsoku/>
        <w:wordWrap/>
        <w:overflowPunct/>
        <w:topLinePunct w:val="0"/>
        <w:autoSpaceDE/>
        <w:autoSpaceDN/>
        <w:bidi w:val="0"/>
        <w:adjustRightInd/>
        <w:snapToGrid w:val="0"/>
        <w:spacing w:before="499" w:beforeLines="150" w:line="300" w:lineRule="exact"/>
        <w:textAlignment w:val="bottom"/>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数据共享及数据库规划</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数据库规划</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核心数据库：</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时空基础数据库：存储湖泊、水利设施、监测点位等空间数据，为“一图览水”提供底图服务。</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物联网监测数据库：存储所有物联网设备上传的实时监测数据（水质、水文、空气等），采用时序数据库结构，支持高频数据写入与查询。</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AI事件与告警数据库：存储由“AI</w:t>
      </w:r>
      <w:r>
        <w:rPr>
          <w:rFonts w:hint="default" w:asciiTheme="minorAscii" w:hAnsiTheme="minorAscii" w:eastAsiaTheme="minorEastAsia" w:cstheme="minorEastAsia"/>
          <w:snapToGrid w:val="0"/>
          <w:sz w:val="24"/>
          <w:szCs w:val="24"/>
          <w:lang w:val="en-US" w:eastAsia="zh-CN"/>
        </w:rPr>
        <w:t>支撑系统</w:t>
      </w:r>
      <w:r>
        <w:rPr>
          <w:rFonts w:hint="default" w:asciiTheme="minorAscii" w:hAnsiTheme="minorAscii" w:eastAsiaTheme="minorEastAsia" w:cstheme="minorEastAsia"/>
          <w:snapToGrid w:val="0"/>
          <w:sz w:val="24"/>
          <w:szCs w:val="24"/>
        </w:rPr>
        <w:t>”分析产生的异常事件、预警信息、AI识别结果。</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业务全流程数据库：存储“</w:t>
      </w:r>
      <w:r>
        <w:rPr>
          <w:rFonts w:hint="default" w:asciiTheme="minorAscii" w:hAnsiTheme="minorAscii" w:eastAsiaTheme="minorEastAsia" w:cstheme="minorEastAsia"/>
          <w:snapToGrid w:val="0"/>
          <w:sz w:val="24"/>
          <w:szCs w:val="24"/>
          <w:lang w:eastAsia="zh-CN"/>
        </w:rPr>
        <w:t>多维协同系统</w:t>
      </w:r>
      <w:r>
        <w:rPr>
          <w:rFonts w:hint="default" w:asciiTheme="minorAscii" w:hAnsiTheme="minorAscii" w:eastAsiaTheme="minorEastAsia" w:cstheme="minorEastAsia"/>
          <w:snapToGrid w:val="0"/>
          <w:sz w:val="24"/>
          <w:szCs w:val="24"/>
        </w:rPr>
        <w:t>”和“指挥调度系统”产生的任务、流程、反馈等全生命周期数据。</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融合通讯资源数据库：存储“</w:t>
      </w:r>
      <w:r>
        <w:rPr>
          <w:rFonts w:hint="default" w:asciiTheme="minorAscii" w:hAnsiTheme="minorAscii" w:eastAsiaTheme="minorEastAsia" w:cstheme="minorEastAsia"/>
          <w:snapToGrid w:val="0"/>
          <w:sz w:val="24"/>
          <w:szCs w:val="24"/>
          <w:lang w:val="en-US" w:eastAsia="zh-CN"/>
        </w:rPr>
        <w:t>物联支撑系统</w:t>
      </w:r>
      <w:r>
        <w:rPr>
          <w:rFonts w:hint="default" w:asciiTheme="minorAscii" w:hAnsiTheme="minorAscii" w:eastAsiaTheme="minorEastAsia" w:cstheme="minorEastAsia"/>
          <w:snapToGrid w:val="0"/>
          <w:sz w:val="24"/>
          <w:szCs w:val="24"/>
        </w:rPr>
        <w:t>”管理的视频、人车、广播、会议等资源索引和元数据。</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技术架构：基于“</w:t>
      </w:r>
      <w:r>
        <w:rPr>
          <w:rFonts w:hint="default" w:asciiTheme="minorAscii" w:hAnsiTheme="minorAscii" w:eastAsiaTheme="minorEastAsia" w:cstheme="minorEastAsia"/>
          <w:snapToGrid w:val="0"/>
          <w:sz w:val="24"/>
          <w:szCs w:val="24"/>
          <w:lang w:val="en-US" w:eastAsia="zh-CN"/>
        </w:rPr>
        <w:t>物联网支撑</w:t>
      </w:r>
      <w:r>
        <w:rPr>
          <w:rFonts w:hint="default" w:asciiTheme="minorAscii" w:hAnsiTheme="minorAscii" w:eastAsiaTheme="minorEastAsia" w:cstheme="minorEastAsia"/>
          <w:snapToGrid w:val="0"/>
          <w:sz w:val="24"/>
          <w:szCs w:val="24"/>
        </w:rPr>
        <w:t>系统”构建统一数据中台，实现上述各类数据库的集中管理、治理和服务化封装。</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z w:val="24"/>
          <w:szCs w:val="24"/>
        </w:rPr>
        <w:t>数据共享需求</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从外部获取：</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需要从气象局共享实时天气数据和天气预报数据，用于关联水质变化分析和预警模型。</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需要从自然资源局共享高精度电子地图和卫星遥感影像，用于提升“一图览水”的底图精度和变化检测能力。</w:t>
      </w:r>
    </w:p>
    <w:p>
      <w:pPr>
        <w:pStyle w:val="7"/>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z w:val="24"/>
          <w:szCs w:val="24"/>
        </w:rPr>
        <w:t>数据共享责任</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对外共享数据服务：</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无条件共享服务：通过API接口或数据交换文件，向相关政府部门和公众提供实时水质水文报告、空气质量指数、生态预警信息以及“一图览水”中的公开图层服务。</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有条件共享服务：向应急、公安、环保等部门，在事件联动处置时，按权限提供AI识别告警事件、无人机巡航影像（事发区域）、移动端上报的问题点位等数据。</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共享实现方式：</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所有共享数据均通过“</w:t>
      </w:r>
      <w:r>
        <w:rPr>
          <w:rFonts w:hint="default" w:asciiTheme="minorAscii" w:hAnsiTheme="minorAscii" w:eastAsiaTheme="minorEastAsia" w:cstheme="minorEastAsia"/>
          <w:snapToGrid w:val="0"/>
          <w:sz w:val="24"/>
          <w:szCs w:val="24"/>
          <w:lang w:val="en-US" w:eastAsia="zh-CN"/>
        </w:rPr>
        <w:t>物联网支撑</w:t>
      </w:r>
      <w:r>
        <w:rPr>
          <w:rFonts w:hint="default" w:asciiTheme="minorAscii" w:hAnsiTheme="minorAscii" w:eastAsiaTheme="minorEastAsia" w:cstheme="minorEastAsia"/>
          <w:snapToGrid w:val="0"/>
          <w:sz w:val="24"/>
          <w:szCs w:val="24"/>
        </w:rPr>
        <w:t>系统”进行统一编目、治理和质量控制，并发布为标准的数据服务API。</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napToGrid w:val="0"/>
          <w:sz w:val="24"/>
          <w:szCs w:val="24"/>
        </w:rPr>
      </w:pPr>
      <w:r>
        <w:rPr>
          <w:rFonts w:hint="default" w:asciiTheme="minorAscii" w:hAnsiTheme="minorAscii" w:eastAsiaTheme="minorEastAsia" w:cstheme="minorEastAsia"/>
          <w:snapToGrid w:val="0"/>
          <w:sz w:val="24"/>
          <w:szCs w:val="24"/>
        </w:rPr>
        <w:t>通过“</w:t>
      </w:r>
      <w:r>
        <w:rPr>
          <w:rFonts w:hint="default" w:asciiTheme="minorAscii" w:hAnsiTheme="minorAscii" w:eastAsiaTheme="minorEastAsia" w:cstheme="minorEastAsia"/>
          <w:snapToGrid w:val="0"/>
          <w:sz w:val="24"/>
          <w:szCs w:val="24"/>
          <w:lang w:val="en-US" w:eastAsia="zh-CN"/>
        </w:rPr>
        <w:t>物联支撑</w:t>
      </w:r>
      <w:r>
        <w:rPr>
          <w:rFonts w:hint="default" w:asciiTheme="minorAscii" w:hAnsiTheme="minorAscii" w:eastAsiaTheme="minorEastAsia" w:cstheme="minorEastAsia"/>
          <w:snapToGrid w:val="0"/>
          <w:sz w:val="24"/>
          <w:szCs w:val="24"/>
        </w:rPr>
        <w:t>系统”的视频融合能力，向授权单位提供视频调阅接口。</w:t>
      </w:r>
    </w:p>
    <w:p>
      <w:pPr>
        <w:pageBreakBefore w:val="0"/>
        <w:widowControl w:val="0"/>
        <w:kinsoku/>
        <w:wordWrap/>
        <w:overflowPunct/>
        <w:topLinePunct w:val="0"/>
        <w:autoSpaceDE/>
        <w:autoSpaceDN/>
        <w:bidi w:val="0"/>
        <w:spacing w:line="300" w:lineRule="exact"/>
        <w:ind w:firstLine="480"/>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napToGrid w:val="0"/>
          <w:sz w:val="24"/>
          <w:szCs w:val="24"/>
        </w:rPr>
        <w:t>通过“信息发布平台”和移动端，向公众发布普惠性的生态信息。</w:t>
      </w:r>
    </w:p>
    <w:p>
      <w:pPr>
        <w:pStyle w:val="4"/>
        <w:pageBreakBefore w:val="0"/>
        <w:widowControl w:val="0"/>
        <w:kinsoku/>
        <w:wordWrap/>
        <w:overflowPunct/>
        <w:topLinePunct w:val="0"/>
        <w:autoSpaceDE/>
        <w:autoSpaceDN/>
        <w:bidi w:val="0"/>
        <w:spacing w:before="166" w:after="166" w:line="300" w:lineRule="exact"/>
        <w:rPr>
          <w:rFonts w:hint="default" w:asciiTheme="minorAscii" w:hAnsiTheme="minorAscii" w:eastAsiaTheme="minorEastAsia" w:cstheme="minorEastAsia"/>
          <w:sz w:val="24"/>
          <w:szCs w:val="24"/>
        </w:rPr>
      </w:pPr>
      <w:bookmarkStart w:id="238" w:name="_Toc926"/>
      <w:r>
        <w:rPr>
          <w:rFonts w:hint="default" w:asciiTheme="minorAscii" w:hAnsiTheme="minorAscii" w:eastAsiaTheme="minorEastAsia" w:cstheme="minorEastAsia"/>
          <w:sz w:val="24"/>
          <w:szCs w:val="24"/>
        </w:rPr>
        <w:t>数据处理和存储</w:t>
      </w:r>
      <w:bookmarkEnd w:id="238"/>
    </w:p>
    <w:p>
      <w:pPr>
        <w:keepNext w:val="0"/>
        <w:keepLines w:val="0"/>
        <w:pageBreakBefore w:val="0"/>
        <w:widowControl w:val="0"/>
        <w:numPr>
          <w:ilvl w:val="0"/>
          <w:numId w:val="47"/>
        </w:numPr>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高性能原则</w:t>
      </w:r>
    </w:p>
    <w:p>
      <w:pPr>
        <w:keepNext w:val="0"/>
        <w:keepLines w:val="0"/>
        <w:pageBreakBefore w:val="0"/>
        <w:widowControl w:val="0"/>
        <w:tabs>
          <w:tab w:val="left" w:pos="0"/>
        </w:tabs>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color w:val="000000"/>
          <w:spacing w:val="0"/>
          <w:kern w:val="0"/>
          <w:sz w:val="24"/>
          <w:szCs w:val="24"/>
        </w:rPr>
      </w:pPr>
      <w:r>
        <w:rPr>
          <w:rFonts w:hint="default" w:asciiTheme="minorAscii" w:hAnsiTheme="minorAscii" w:eastAsiaTheme="minorEastAsia" w:cstheme="minorEastAsia"/>
          <w:snapToGrid w:val="0"/>
          <w:color w:val="000000"/>
          <w:spacing w:val="0"/>
          <w:kern w:val="0"/>
          <w:sz w:val="24"/>
          <w:szCs w:val="24"/>
        </w:rPr>
        <w:t>应用业务系统常常要大量地对存储系统进行写入、读取操作，使得存储系统的压力随着业务的扩大而变大，因此，对存储系统的性能将提出更高、更苛刻的要求。</w:t>
      </w:r>
    </w:p>
    <w:p>
      <w:pPr>
        <w:keepNext w:val="0"/>
        <w:keepLines w:val="0"/>
        <w:pageBreakBefore w:val="0"/>
        <w:widowControl w:val="0"/>
        <w:numPr>
          <w:ilvl w:val="0"/>
          <w:numId w:val="47"/>
        </w:numPr>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高安全原则</w:t>
      </w:r>
    </w:p>
    <w:p>
      <w:pPr>
        <w:keepNext w:val="0"/>
        <w:keepLines w:val="0"/>
        <w:pageBreakBefore w:val="0"/>
        <w:widowControl w:val="0"/>
        <w:tabs>
          <w:tab w:val="left" w:pos="0"/>
        </w:tabs>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color w:val="000000"/>
          <w:spacing w:val="0"/>
          <w:kern w:val="0"/>
          <w:sz w:val="24"/>
          <w:szCs w:val="24"/>
        </w:rPr>
      </w:pPr>
      <w:r>
        <w:rPr>
          <w:rFonts w:hint="default" w:asciiTheme="minorAscii" w:hAnsiTheme="minorAscii" w:eastAsiaTheme="minorEastAsia" w:cstheme="minorEastAsia"/>
          <w:snapToGrid w:val="0"/>
          <w:color w:val="000000"/>
          <w:spacing w:val="0"/>
          <w:kern w:val="0"/>
          <w:sz w:val="24"/>
          <w:szCs w:val="24"/>
        </w:rPr>
        <w:t>本项目对数据安全性要求非常高，一旦数据发生问题，会导致业务连续性受到影响，甚至影响正常运行，因此，对存储系统数据的安全性提出了更高、更严的要求。</w:t>
      </w:r>
    </w:p>
    <w:p>
      <w:pPr>
        <w:keepNext w:val="0"/>
        <w:keepLines w:val="0"/>
        <w:pageBreakBefore w:val="0"/>
        <w:widowControl w:val="0"/>
        <w:numPr>
          <w:ilvl w:val="0"/>
          <w:numId w:val="47"/>
        </w:numPr>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高可靠性原则</w:t>
      </w:r>
    </w:p>
    <w:p>
      <w:pPr>
        <w:keepNext w:val="0"/>
        <w:keepLines w:val="0"/>
        <w:pageBreakBefore w:val="0"/>
        <w:widowControl w:val="0"/>
        <w:tabs>
          <w:tab w:val="left" w:pos="0"/>
        </w:tabs>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color w:val="000000"/>
          <w:spacing w:val="0"/>
          <w:kern w:val="0"/>
          <w:sz w:val="24"/>
          <w:szCs w:val="24"/>
        </w:rPr>
      </w:pPr>
      <w:r>
        <w:rPr>
          <w:rFonts w:hint="default" w:asciiTheme="minorAscii" w:hAnsiTheme="minorAscii" w:eastAsiaTheme="minorEastAsia" w:cstheme="minorEastAsia"/>
          <w:snapToGrid w:val="0"/>
          <w:color w:val="000000"/>
          <w:spacing w:val="0"/>
          <w:kern w:val="0"/>
          <w:sz w:val="24"/>
          <w:szCs w:val="24"/>
        </w:rPr>
        <w:t>提供的服务要求信息能够在7*24h的条件下保持在线状态，系统故障会引起应用服务中断，将给用户造成损失。</w:t>
      </w:r>
    </w:p>
    <w:p>
      <w:pPr>
        <w:keepNext w:val="0"/>
        <w:keepLines w:val="0"/>
        <w:pageBreakBefore w:val="0"/>
        <w:widowControl w:val="0"/>
        <w:numPr>
          <w:ilvl w:val="0"/>
          <w:numId w:val="47"/>
        </w:numPr>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易管理性原则</w:t>
      </w:r>
    </w:p>
    <w:p>
      <w:pPr>
        <w:keepNext w:val="0"/>
        <w:keepLines w:val="0"/>
        <w:pageBreakBefore w:val="0"/>
        <w:widowControl w:val="0"/>
        <w:tabs>
          <w:tab w:val="left" w:pos="0"/>
        </w:tabs>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color w:val="000000"/>
          <w:spacing w:val="0"/>
          <w:kern w:val="0"/>
          <w:sz w:val="24"/>
          <w:szCs w:val="24"/>
        </w:rPr>
      </w:pPr>
      <w:r>
        <w:rPr>
          <w:rFonts w:hint="default" w:asciiTheme="minorAscii" w:hAnsiTheme="minorAscii" w:eastAsiaTheme="minorEastAsia" w:cstheme="minorEastAsia"/>
          <w:snapToGrid w:val="0"/>
          <w:color w:val="000000"/>
          <w:spacing w:val="0"/>
          <w:kern w:val="0"/>
          <w:sz w:val="24"/>
          <w:szCs w:val="24"/>
        </w:rPr>
        <w:t>信息系统由多个业务系统组成，由于业务系统建设时期不同，导致会出现多个存储系统共存的情况，如何在日常工作中对存储系统进行管理，简化工作，降低TCO，是保证存储系统稳定运行的重要因素。</w:t>
      </w:r>
    </w:p>
    <w:p>
      <w:pPr>
        <w:keepNext w:val="0"/>
        <w:keepLines w:val="0"/>
        <w:pageBreakBefore w:val="0"/>
        <w:widowControl w:val="0"/>
        <w:numPr>
          <w:ilvl w:val="0"/>
          <w:numId w:val="47"/>
        </w:numPr>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可扩展性原则</w:t>
      </w:r>
    </w:p>
    <w:p>
      <w:pPr>
        <w:keepNext w:val="0"/>
        <w:keepLines w:val="0"/>
        <w:pageBreakBefore w:val="0"/>
        <w:widowControl w:val="0"/>
        <w:tabs>
          <w:tab w:val="left" w:pos="0"/>
        </w:tabs>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color w:val="000000"/>
          <w:spacing w:val="0"/>
          <w:kern w:val="0"/>
          <w:sz w:val="24"/>
          <w:szCs w:val="24"/>
        </w:rPr>
      </w:pPr>
      <w:r>
        <w:rPr>
          <w:rFonts w:hint="default" w:asciiTheme="minorAscii" w:hAnsiTheme="minorAscii" w:eastAsiaTheme="minorEastAsia" w:cstheme="minorEastAsia"/>
          <w:snapToGrid w:val="0"/>
          <w:color w:val="000000"/>
          <w:spacing w:val="0"/>
          <w:kern w:val="0"/>
          <w:sz w:val="24"/>
          <w:szCs w:val="24"/>
        </w:rPr>
        <w:t>存储系统要建设成标准、集中、易扩展的系统，能够在容量、性能需求不断增加的情况下，横向或纵向进行存储空间的平滑扩展。</w:t>
      </w:r>
    </w:p>
    <w:p>
      <w:pPr>
        <w:keepNext w:val="0"/>
        <w:keepLines w:val="0"/>
        <w:pageBreakBefore w:val="0"/>
        <w:widowControl w:val="0"/>
        <w:numPr>
          <w:ilvl w:val="0"/>
          <w:numId w:val="47"/>
        </w:numPr>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spacing w:val="0"/>
          <w:kern w:val="0"/>
          <w:sz w:val="24"/>
          <w:szCs w:val="24"/>
        </w:rPr>
      </w:pPr>
      <w:r>
        <w:rPr>
          <w:rFonts w:hint="default" w:asciiTheme="minorAscii" w:hAnsiTheme="minorAscii" w:eastAsiaTheme="minorEastAsia" w:cstheme="minorEastAsia"/>
          <w:snapToGrid w:val="0"/>
          <w:spacing w:val="0"/>
          <w:kern w:val="0"/>
          <w:sz w:val="24"/>
          <w:szCs w:val="24"/>
        </w:rPr>
        <w:t>整合原则</w:t>
      </w:r>
    </w:p>
    <w:p>
      <w:pPr>
        <w:keepNext w:val="0"/>
        <w:keepLines w:val="0"/>
        <w:pageBreakBefore w:val="0"/>
        <w:widowControl w:val="0"/>
        <w:tabs>
          <w:tab w:val="left" w:pos="0"/>
        </w:tabs>
        <w:kinsoku/>
        <w:wordWrap/>
        <w:overflowPunct/>
        <w:topLinePunct w:val="0"/>
        <w:autoSpaceDE/>
        <w:autoSpaceDN/>
        <w:bidi w:val="0"/>
        <w:adjustRightInd w:val="0"/>
        <w:snapToGrid w:val="0"/>
        <w:spacing w:line="300" w:lineRule="exact"/>
        <w:ind w:firstLine="480" w:firstLineChars="200"/>
        <w:textAlignment w:val="auto"/>
        <w:rPr>
          <w:rFonts w:hint="default" w:asciiTheme="minorAscii" w:hAnsiTheme="minorAscii" w:eastAsiaTheme="minorEastAsia" w:cstheme="minorEastAsia"/>
          <w:snapToGrid w:val="0"/>
          <w:color w:val="000000"/>
          <w:spacing w:val="0"/>
          <w:kern w:val="0"/>
          <w:sz w:val="24"/>
          <w:szCs w:val="24"/>
        </w:rPr>
      </w:pPr>
      <w:r>
        <w:rPr>
          <w:rFonts w:hint="default" w:asciiTheme="minorAscii" w:hAnsiTheme="minorAscii" w:eastAsiaTheme="minorEastAsia" w:cstheme="minorEastAsia"/>
          <w:snapToGrid w:val="0"/>
          <w:color w:val="000000"/>
          <w:spacing w:val="0"/>
          <w:kern w:val="0"/>
          <w:sz w:val="24"/>
          <w:szCs w:val="24"/>
        </w:rPr>
        <w:t>对关键数据的存储和备份也已成为运营发展的关键。由于数据环境、数据类型、系统平台、存储结构呈多样性，规模较大的可能同时具有从DAS、NAS到SAN的多种存储结构。所以以成熟技术为核心建设存储系统，有利于存储系统进行整合，整合不同应用的存储系统实现统一管理，也利于灾难备份中心的建设。</w:t>
      </w:r>
    </w:p>
    <w:p>
      <w:pPr>
        <w:pStyle w:val="5"/>
        <w:pageBreakBefore w:val="0"/>
        <w:widowControl w:val="0"/>
        <w:kinsoku/>
        <w:wordWrap/>
        <w:overflowPunct/>
        <w:topLinePunct w:val="0"/>
        <w:autoSpaceDE/>
        <w:autoSpaceDN/>
        <w:bidi w:val="0"/>
        <w:spacing w:line="300" w:lineRule="exact"/>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z w:val="24"/>
          <w:szCs w:val="24"/>
        </w:rPr>
        <w:t>业务系统数据</w:t>
      </w:r>
    </w:p>
    <w:tbl>
      <w:tblPr>
        <w:tblStyle w:val="18"/>
        <w:tblW w:w="4881" w:type="pct"/>
        <w:jc w:val="center"/>
        <w:tblLayout w:type="fixed"/>
        <w:tblCellMar>
          <w:top w:w="0" w:type="dxa"/>
          <w:left w:w="108" w:type="dxa"/>
          <w:bottom w:w="0" w:type="dxa"/>
          <w:right w:w="108" w:type="dxa"/>
        </w:tblCellMar>
      </w:tblPr>
      <w:tblGrid>
        <w:gridCol w:w="711"/>
        <w:gridCol w:w="1342"/>
        <w:gridCol w:w="752"/>
        <w:gridCol w:w="2078"/>
        <w:gridCol w:w="2426"/>
        <w:gridCol w:w="1537"/>
      </w:tblGrid>
      <w:tr>
        <w:tblPrEx>
          <w:tblCellMar>
            <w:top w:w="0" w:type="dxa"/>
            <w:left w:w="108" w:type="dxa"/>
            <w:bottom w:w="0" w:type="dxa"/>
            <w:right w:w="108" w:type="dxa"/>
          </w:tblCellMar>
        </w:tblPrEx>
        <w:trPr>
          <w:trHeight w:val="620" w:hRule="atLeast"/>
          <w:tblHeader/>
          <w:jc w:val="center"/>
        </w:trPr>
        <w:tc>
          <w:tcPr>
            <w:tcW w:w="40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序号</w:t>
            </w:r>
          </w:p>
        </w:tc>
        <w:tc>
          <w:tcPr>
            <w:tcW w:w="75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类型</w:t>
            </w:r>
          </w:p>
        </w:tc>
        <w:tc>
          <w:tcPr>
            <w:tcW w:w="4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规模</w:t>
            </w:r>
          </w:p>
        </w:tc>
        <w:tc>
          <w:tcPr>
            <w:tcW w:w="117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主要数据描述</w:t>
            </w:r>
          </w:p>
        </w:tc>
        <w:tc>
          <w:tcPr>
            <w:tcW w:w="137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数据测算过程</w:t>
            </w:r>
          </w:p>
        </w:tc>
        <w:tc>
          <w:tcPr>
            <w:tcW w:w="86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kern w:val="0"/>
                <w:sz w:val="18"/>
                <w:szCs w:val="18"/>
                <w:lang w:bidi="ar"/>
              </w:rPr>
            </w:pPr>
            <w:r>
              <w:rPr>
                <w:rFonts w:hint="default" w:asciiTheme="minorAscii" w:hAnsiTheme="minorAscii" w:eastAsiaTheme="minorEastAsia" w:cstheme="minorEastAsia"/>
                <w:b/>
                <w:bCs/>
                <w:color w:val="000000"/>
                <w:kern w:val="0"/>
                <w:sz w:val="18"/>
                <w:szCs w:val="18"/>
                <w:lang w:bidi="ar"/>
              </w:rPr>
              <w:t>数据量</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（单位：M/年）</w:t>
            </w:r>
          </w:p>
        </w:tc>
      </w:tr>
      <w:tr>
        <w:tblPrEx>
          <w:tblCellMar>
            <w:top w:w="0" w:type="dxa"/>
            <w:left w:w="108" w:type="dxa"/>
            <w:bottom w:w="0" w:type="dxa"/>
            <w:right w:w="108" w:type="dxa"/>
          </w:tblCellMar>
        </w:tblPrEx>
        <w:trPr>
          <w:trHeight w:val="810" w:hRule="atLeast"/>
          <w:jc w:val="center"/>
        </w:trPr>
        <w:tc>
          <w:tcPr>
            <w:tcW w:w="40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1</w:t>
            </w:r>
          </w:p>
        </w:tc>
        <w:tc>
          <w:tcPr>
            <w:tcW w:w="7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固定式监测设备</w:t>
            </w:r>
          </w:p>
        </w:tc>
        <w:tc>
          <w:tcPr>
            <w:tcW w:w="4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val="en-US" w:eastAsia="zh-CN"/>
              </w:rPr>
            </w:pPr>
            <w:r>
              <w:rPr>
                <w:rFonts w:hint="default" w:asciiTheme="minorAscii" w:hAnsiTheme="minorAscii" w:eastAsiaTheme="minorEastAsia" w:cstheme="minorEastAsia"/>
                <w:color w:val="000000"/>
                <w:kern w:val="0"/>
                <w:sz w:val="18"/>
                <w:szCs w:val="18"/>
                <w:lang w:val="en-US" w:eastAsia="zh-CN" w:bidi="ar"/>
              </w:rPr>
              <w:t>29</w:t>
            </w:r>
          </w:p>
        </w:tc>
        <w:tc>
          <w:tcPr>
            <w:tcW w:w="117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PH、电导率、溶解氧、浊度、温度、COD、氨氮等数据</w:t>
            </w:r>
          </w:p>
        </w:tc>
        <w:tc>
          <w:tcPr>
            <w:tcW w:w="137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365天*24小时*频率*数据大小=365*24*1次/小时*1M=8760M</w:t>
            </w:r>
          </w:p>
        </w:tc>
        <w:tc>
          <w:tcPr>
            <w:tcW w:w="86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val="en-US" w:eastAsia="zh-CN"/>
              </w:rPr>
            </w:pPr>
            <w:r>
              <w:rPr>
                <w:rFonts w:hint="default" w:asciiTheme="minorAscii" w:hAnsiTheme="minorAscii" w:eastAsiaTheme="minorEastAsia" w:cstheme="minorEastAsia"/>
                <w:color w:val="000000"/>
                <w:kern w:val="0"/>
                <w:sz w:val="18"/>
                <w:szCs w:val="18"/>
                <w:lang w:bidi="ar"/>
              </w:rPr>
              <w:t>2</w:t>
            </w:r>
            <w:r>
              <w:rPr>
                <w:rFonts w:hint="default" w:asciiTheme="minorAscii" w:hAnsiTheme="minorAscii" w:eastAsiaTheme="minorEastAsia" w:cstheme="minorEastAsia"/>
                <w:color w:val="000000"/>
                <w:kern w:val="0"/>
                <w:sz w:val="18"/>
                <w:szCs w:val="18"/>
                <w:lang w:val="en-US" w:eastAsia="zh-CN" w:bidi="ar"/>
              </w:rPr>
              <w:t>54</w:t>
            </w:r>
            <w:r>
              <w:rPr>
                <w:rFonts w:hint="default" w:asciiTheme="minorAscii" w:hAnsiTheme="minorAscii" w:eastAsiaTheme="minorEastAsia" w:cstheme="minorEastAsia"/>
                <w:color w:val="000000"/>
                <w:kern w:val="0"/>
                <w:sz w:val="18"/>
                <w:szCs w:val="18"/>
                <w:lang w:bidi="ar"/>
              </w:rPr>
              <w:t>0</w:t>
            </w:r>
            <w:r>
              <w:rPr>
                <w:rFonts w:hint="default" w:asciiTheme="minorAscii" w:hAnsiTheme="minorAscii" w:eastAsiaTheme="minorEastAsia" w:cstheme="minorEastAsia"/>
                <w:color w:val="000000"/>
                <w:kern w:val="0"/>
                <w:sz w:val="18"/>
                <w:szCs w:val="18"/>
                <w:lang w:val="en-US" w:eastAsia="zh-CN" w:bidi="ar"/>
              </w:rPr>
              <w:t>40</w:t>
            </w:r>
          </w:p>
        </w:tc>
      </w:tr>
      <w:tr>
        <w:tblPrEx>
          <w:tblCellMar>
            <w:top w:w="0" w:type="dxa"/>
            <w:left w:w="108" w:type="dxa"/>
            <w:bottom w:w="0" w:type="dxa"/>
            <w:right w:w="108" w:type="dxa"/>
          </w:tblCellMar>
        </w:tblPrEx>
        <w:trPr>
          <w:trHeight w:val="815" w:hRule="atLeast"/>
          <w:jc w:val="center"/>
        </w:trPr>
        <w:tc>
          <w:tcPr>
            <w:tcW w:w="40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2</w:t>
            </w:r>
          </w:p>
        </w:tc>
        <w:tc>
          <w:tcPr>
            <w:tcW w:w="7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浮标式监测设备</w:t>
            </w:r>
          </w:p>
        </w:tc>
        <w:tc>
          <w:tcPr>
            <w:tcW w:w="4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4</w:t>
            </w:r>
          </w:p>
        </w:tc>
        <w:tc>
          <w:tcPr>
            <w:tcW w:w="117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PH、电导率、溶解氧、浊度、温度、COD、氨氮等数据</w:t>
            </w:r>
          </w:p>
        </w:tc>
        <w:tc>
          <w:tcPr>
            <w:tcW w:w="137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365天*24小时*频率*数据大小=365*24*1次/小时*1M=8760M</w:t>
            </w:r>
          </w:p>
        </w:tc>
        <w:tc>
          <w:tcPr>
            <w:tcW w:w="86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35040</w:t>
            </w:r>
          </w:p>
        </w:tc>
      </w:tr>
      <w:tr>
        <w:tblPrEx>
          <w:tblCellMar>
            <w:top w:w="0" w:type="dxa"/>
            <w:left w:w="108" w:type="dxa"/>
            <w:bottom w:w="0" w:type="dxa"/>
            <w:right w:w="108" w:type="dxa"/>
          </w:tblCellMar>
        </w:tblPrEx>
        <w:trPr>
          <w:trHeight w:val="830" w:hRule="atLeast"/>
          <w:jc w:val="center"/>
        </w:trPr>
        <w:tc>
          <w:tcPr>
            <w:tcW w:w="40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3</w:t>
            </w:r>
          </w:p>
        </w:tc>
        <w:tc>
          <w:tcPr>
            <w:tcW w:w="7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流量计监测设备</w:t>
            </w:r>
          </w:p>
        </w:tc>
        <w:tc>
          <w:tcPr>
            <w:tcW w:w="4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6</w:t>
            </w:r>
          </w:p>
        </w:tc>
        <w:tc>
          <w:tcPr>
            <w:tcW w:w="117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流量数据</w:t>
            </w:r>
          </w:p>
        </w:tc>
        <w:tc>
          <w:tcPr>
            <w:tcW w:w="137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365天*24小时*频率*数据大小=365*24*1次/小时*1M=8760M</w:t>
            </w:r>
          </w:p>
        </w:tc>
        <w:tc>
          <w:tcPr>
            <w:tcW w:w="86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52560</w:t>
            </w:r>
          </w:p>
        </w:tc>
      </w:tr>
      <w:tr>
        <w:tblPrEx>
          <w:tblCellMar>
            <w:top w:w="0" w:type="dxa"/>
            <w:left w:w="108" w:type="dxa"/>
            <w:bottom w:w="0" w:type="dxa"/>
            <w:right w:w="108" w:type="dxa"/>
          </w:tblCellMar>
        </w:tblPrEx>
        <w:trPr>
          <w:trHeight w:val="800" w:hRule="atLeast"/>
          <w:jc w:val="center"/>
        </w:trPr>
        <w:tc>
          <w:tcPr>
            <w:tcW w:w="40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4</w:t>
            </w:r>
          </w:p>
        </w:tc>
        <w:tc>
          <w:tcPr>
            <w:tcW w:w="7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eastAsia="zh-CN"/>
              </w:rPr>
            </w:pPr>
            <w:r>
              <w:rPr>
                <w:rFonts w:hint="default" w:asciiTheme="minorAscii" w:hAnsiTheme="minorAscii" w:eastAsiaTheme="minorEastAsia" w:cstheme="minorEastAsia"/>
                <w:color w:val="000000"/>
                <w:kern w:val="0"/>
                <w:sz w:val="18"/>
                <w:szCs w:val="18"/>
                <w:lang w:bidi="ar"/>
              </w:rPr>
              <w:t>气象</w:t>
            </w:r>
            <w:r>
              <w:rPr>
                <w:rFonts w:hint="default" w:asciiTheme="minorAscii" w:hAnsiTheme="minorAscii" w:eastAsiaTheme="minorEastAsia" w:cstheme="minorEastAsia"/>
                <w:color w:val="000000"/>
                <w:kern w:val="0"/>
                <w:sz w:val="18"/>
                <w:szCs w:val="18"/>
                <w:lang w:val="en-US" w:eastAsia="zh-CN" w:bidi="ar"/>
              </w:rPr>
              <w:t>及</w:t>
            </w:r>
            <w:r>
              <w:rPr>
                <w:rFonts w:hint="default" w:asciiTheme="minorAscii" w:hAnsiTheme="minorAscii" w:eastAsiaTheme="minorEastAsia" w:cstheme="minorEastAsia"/>
                <w:color w:val="000000"/>
                <w:kern w:val="0"/>
                <w:sz w:val="18"/>
                <w:szCs w:val="18"/>
                <w:lang w:bidi="ar"/>
              </w:rPr>
              <w:t>空气质量</w:t>
            </w:r>
            <w:r>
              <w:rPr>
                <w:rFonts w:hint="default" w:asciiTheme="minorAscii" w:hAnsiTheme="minorAscii" w:eastAsiaTheme="minorEastAsia" w:cstheme="minorEastAsia"/>
                <w:color w:val="000000"/>
                <w:kern w:val="0"/>
                <w:sz w:val="18"/>
                <w:szCs w:val="18"/>
                <w:lang w:val="en-US" w:eastAsia="zh-CN" w:bidi="ar"/>
              </w:rPr>
              <w:t>检测</w:t>
            </w:r>
          </w:p>
        </w:tc>
        <w:tc>
          <w:tcPr>
            <w:tcW w:w="4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2</w:t>
            </w:r>
          </w:p>
        </w:tc>
        <w:tc>
          <w:tcPr>
            <w:tcW w:w="117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气象数据</w:t>
            </w:r>
          </w:p>
        </w:tc>
        <w:tc>
          <w:tcPr>
            <w:tcW w:w="137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365天*24小时*频率*数据大小=365*24*1次/小时*1M=8760M</w:t>
            </w:r>
          </w:p>
        </w:tc>
        <w:tc>
          <w:tcPr>
            <w:tcW w:w="86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17520</w:t>
            </w:r>
          </w:p>
        </w:tc>
      </w:tr>
      <w:tr>
        <w:tblPrEx>
          <w:tblCellMar>
            <w:top w:w="0" w:type="dxa"/>
            <w:left w:w="108" w:type="dxa"/>
            <w:bottom w:w="0" w:type="dxa"/>
            <w:right w:w="108" w:type="dxa"/>
          </w:tblCellMar>
        </w:tblPrEx>
        <w:trPr>
          <w:trHeight w:val="1345" w:hRule="atLeast"/>
          <w:jc w:val="center"/>
        </w:trPr>
        <w:tc>
          <w:tcPr>
            <w:tcW w:w="40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eastAsia="zh-CN"/>
              </w:rPr>
            </w:pPr>
            <w:r>
              <w:rPr>
                <w:rFonts w:hint="default" w:asciiTheme="minorAscii" w:hAnsiTheme="minorAscii" w:eastAsiaTheme="minorEastAsia" w:cstheme="minorEastAsia"/>
                <w:color w:val="000000"/>
                <w:kern w:val="0"/>
                <w:sz w:val="18"/>
                <w:szCs w:val="18"/>
                <w:lang w:val="en-US" w:eastAsia="zh-CN" w:bidi="ar"/>
              </w:rPr>
              <w:t>5</w:t>
            </w:r>
          </w:p>
        </w:tc>
        <w:tc>
          <w:tcPr>
            <w:tcW w:w="7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系统数据</w:t>
            </w:r>
          </w:p>
        </w:tc>
        <w:tc>
          <w:tcPr>
            <w:tcW w:w="4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w:t>
            </w:r>
          </w:p>
        </w:tc>
        <w:tc>
          <w:tcPr>
            <w:tcW w:w="117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结构化数据：业务系统使用过程中产生的数据</w:t>
            </w:r>
          </w:p>
        </w:tc>
        <w:tc>
          <w:tcPr>
            <w:tcW w:w="137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根据忙时数据340人，没人每天参数业务数据10笔，每笔数据大小2M计算：365天*340人*10笔/天*0.5M/笔=1241000M</w:t>
            </w:r>
          </w:p>
        </w:tc>
        <w:tc>
          <w:tcPr>
            <w:tcW w:w="86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1241000</w:t>
            </w:r>
          </w:p>
        </w:tc>
      </w:tr>
      <w:tr>
        <w:tblPrEx>
          <w:tblCellMar>
            <w:top w:w="0" w:type="dxa"/>
            <w:left w:w="108" w:type="dxa"/>
            <w:bottom w:w="0" w:type="dxa"/>
            <w:right w:w="108" w:type="dxa"/>
          </w:tblCellMar>
        </w:tblPrEx>
        <w:trPr>
          <w:trHeight w:val="525" w:hRule="atLeast"/>
          <w:jc w:val="center"/>
        </w:trPr>
        <w:tc>
          <w:tcPr>
            <w:tcW w:w="40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eastAsia="zh-CN"/>
              </w:rPr>
            </w:pPr>
            <w:r>
              <w:rPr>
                <w:rFonts w:hint="default" w:asciiTheme="minorAscii" w:hAnsiTheme="minorAscii" w:eastAsiaTheme="minorEastAsia" w:cstheme="minorEastAsia"/>
                <w:color w:val="000000"/>
                <w:kern w:val="0"/>
                <w:sz w:val="18"/>
                <w:szCs w:val="18"/>
                <w:lang w:val="en-US" w:eastAsia="zh-CN" w:bidi="ar"/>
              </w:rPr>
              <w:t>6</w:t>
            </w:r>
          </w:p>
        </w:tc>
        <w:tc>
          <w:tcPr>
            <w:tcW w:w="75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每年数据合计</w:t>
            </w:r>
          </w:p>
        </w:tc>
        <w:tc>
          <w:tcPr>
            <w:tcW w:w="4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w:t>
            </w:r>
          </w:p>
        </w:tc>
        <w:tc>
          <w:tcPr>
            <w:tcW w:w="117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w:t>
            </w:r>
          </w:p>
        </w:tc>
        <w:tc>
          <w:tcPr>
            <w:tcW w:w="137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w:t>
            </w:r>
          </w:p>
        </w:tc>
        <w:tc>
          <w:tcPr>
            <w:tcW w:w="8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1600160</w:t>
            </w:r>
          </w:p>
        </w:tc>
      </w:tr>
      <w:tr>
        <w:tblPrEx>
          <w:tblCellMar>
            <w:top w:w="0" w:type="dxa"/>
            <w:left w:w="108" w:type="dxa"/>
            <w:bottom w:w="0" w:type="dxa"/>
            <w:right w:w="108" w:type="dxa"/>
          </w:tblCellMar>
        </w:tblPrEx>
        <w:trPr>
          <w:trHeight w:val="555" w:hRule="atLeast"/>
          <w:jc w:val="center"/>
        </w:trPr>
        <w:tc>
          <w:tcPr>
            <w:tcW w:w="40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eastAsia="zh-CN"/>
              </w:rPr>
            </w:pPr>
            <w:r>
              <w:rPr>
                <w:rFonts w:hint="default" w:asciiTheme="minorAscii" w:hAnsiTheme="minorAscii" w:eastAsiaTheme="minorEastAsia" w:cstheme="minorEastAsia"/>
                <w:color w:val="000000"/>
                <w:kern w:val="0"/>
                <w:sz w:val="18"/>
                <w:szCs w:val="18"/>
                <w:lang w:val="en-US" w:eastAsia="zh-CN" w:bidi="ar"/>
              </w:rPr>
              <w:t>7</w:t>
            </w:r>
          </w:p>
        </w:tc>
        <w:tc>
          <w:tcPr>
            <w:tcW w:w="75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三年数据合计</w:t>
            </w:r>
          </w:p>
        </w:tc>
        <w:tc>
          <w:tcPr>
            <w:tcW w:w="42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w:t>
            </w:r>
          </w:p>
        </w:tc>
        <w:tc>
          <w:tcPr>
            <w:tcW w:w="117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w:t>
            </w:r>
          </w:p>
        </w:tc>
        <w:tc>
          <w:tcPr>
            <w:tcW w:w="1371"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w:t>
            </w:r>
          </w:p>
        </w:tc>
        <w:tc>
          <w:tcPr>
            <w:tcW w:w="86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4800480</w:t>
            </w:r>
          </w:p>
        </w:tc>
      </w:tr>
    </w:tbl>
    <w:p>
      <w:pPr>
        <w:keepNext w:val="0"/>
        <w:keepLines w:val="0"/>
        <w:pageBreakBefore w:val="0"/>
        <w:widowControl w:val="0"/>
        <w:kinsoku/>
        <w:wordWrap/>
        <w:overflowPunct/>
        <w:topLinePunct w:val="0"/>
        <w:autoSpaceDE/>
        <w:autoSpaceDN/>
        <w:bidi w:val="0"/>
        <w:adjustRightInd/>
        <w:snapToGrid w:val="0"/>
        <w:spacing w:before="333" w:beforeLines="100"/>
        <w:ind w:firstLine="520"/>
        <w:textAlignment w:val="auto"/>
        <w:rPr>
          <w:rFonts w:hint="default" w:asciiTheme="minorAscii" w:hAnsiTheme="minorAscii" w:eastAsiaTheme="minorEastAsia" w:cstheme="minorEastAsia"/>
          <w:snapToGrid w:val="0"/>
          <w:color w:val="000000"/>
          <w:spacing w:val="10"/>
          <w:kern w:val="0"/>
          <w:sz w:val="18"/>
          <w:szCs w:val="18"/>
        </w:rPr>
      </w:pPr>
      <w:r>
        <w:rPr>
          <w:rFonts w:hint="default" w:asciiTheme="minorAscii" w:hAnsiTheme="minorAscii" w:eastAsiaTheme="minorEastAsia" w:cstheme="minorEastAsia"/>
          <w:snapToGrid w:val="0"/>
          <w:color w:val="000000"/>
          <w:spacing w:val="10"/>
          <w:kern w:val="0"/>
          <w:sz w:val="18"/>
          <w:szCs w:val="18"/>
        </w:rPr>
        <w:t>根据上表统计，每年系统产生的数据量为</w:t>
      </w:r>
      <w:r>
        <w:rPr>
          <w:rFonts w:hint="default" w:asciiTheme="minorAscii" w:hAnsiTheme="minorAscii" w:eastAsiaTheme="minorEastAsia" w:cstheme="minorEastAsia"/>
          <w:color w:val="000000"/>
          <w:kern w:val="0"/>
          <w:sz w:val="18"/>
          <w:szCs w:val="18"/>
          <w:lang w:bidi="ar"/>
        </w:rPr>
        <w:t>1600160</w:t>
      </w:r>
      <w:r>
        <w:rPr>
          <w:rFonts w:hint="default" w:asciiTheme="minorAscii" w:hAnsiTheme="minorAscii" w:eastAsiaTheme="minorEastAsia" w:cstheme="minorEastAsia"/>
          <w:snapToGrid w:val="0"/>
          <w:color w:val="000000"/>
          <w:spacing w:val="10"/>
          <w:kern w:val="0"/>
          <w:sz w:val="18"/>
          <w:szCs w:val="18"/>
        </w:rPr>
        <w:t>M，3年数据量预测为：</w:t>
      </w:r>
      <w:r>
        <w:rPr>
          <w:rFonts w:hint="default" w:asciiTheme="minorAscii" w:hAnsiTheme="minorAscii" w:eastAsiaTheme="minorEastAsia" w:cstheme="minorEastAsia"/>
          <w:color w:val="000000"/>
          <w:kern w:val="0"/>
          <w:sz w:val="18"/>
          <w:szCs w:val="18"/>
          <w:lang w:bidi="ar"/>
        </w:rPr>
        <w:t>1600160</w:t>
      </w:r>
      <w:r>
        <w:rPr>
          <w:rFonts w:hint="default" w:asciiTheme="minorAscii" w:hAnsiTheme="minorAscii" w:eastAsiaTheme="minorEastAsia" w:cstheme="minorEastAsia"/>
          <w:snapToGrid w:val="0"/>
          <w:color w:val="000000"/>
          <w:spacing w:val="10"/>
          <w:kern w:val="0"/>
          <w:sz w:val="18"/>
          <w:szCs w:val="18"/>
        </w:rPr>
        <w:t>M*3年/1024=4</w:t>
      </w:r>
      <w:r>
        <w:rPr>
          <w:rFonts w:hint="default" w:asciiTheme="minorAscii" w:hAnsiTheme="minorAscii" w:eastAsiaTheme="minorEastAsia" w:cstheme="minorEastAsia"/>
          <w:snapToGrid w:val="0"/>
          <w:color w:val="000000"/>
          <w:spacing w:val="10"/>
          <w:kern w:val="0"/>
          <w:sz w:val="18"/>
          <w:szCs w:val="18"/>
          <w:lang w:val="en-US" w:eastAsia="zh-CN"/>
        </w:rPr>
        <w:t>687</w:t>
      </w:r>
      <w:r>
        <w:rPr>
          <w:rFonts w:hint="default" w:asciiTheme="minorAscii" w:hAnsiTheme="minorAscii" w:eastAsiaTheme="minorEastAsia" w:cstheme="minorEastAsia"/>
          <w:snapToGrid w:val="0"/>
          <w:color w:val="000000"/>
          <w:spacing w:val="10"/>
          <w:kern w:val="0"/>
          <w:sz w:val="18"/>
          <w:szCs w:val="18"/>
        </w:rPr>
        <w:t>.</w:t>
      </w:r>
      <w:r>
        <w:rPr>
          <w:rFonts w:hint="default" w:asciiTheme="minorAscii" w:hAnsiTheme="minorAscii" w:eastAsiaTheme="minorEastAsia" w:cstheme="minorEastAsia"/>
          <w:snapToGrid w:val="0"/>
          <w:color w:val="000000"/>
          <w:spacing w:val="10"/>
          <w:kern w:val="0"/>
          <w:sz w:val="18"/>
          <w:szCs w:val="18"/>
          <w:lang w:val="en-US" w:eastAsia="zh-CN"/>
        </w:rPr>
        <w:t>97</w:t>
      </w:r>
      <w:r>
        <w:rPr>
          <w:rFonts w:hint="default" w:asciiTheme="minorAscii" w:hAnsiTheme="minorAscii" w:eastAsiaTheme="minorEastAsia" w:cstheme="minorEastAsia"/>
          <w:snapToGrid w:val="0"/>
          <w:color w:val="000000"/>
          <w:spacing w:val="10"/>
          <w:kern w:val="0"/>
          <w:sz w:val="18"/>
          <w:szCs w:val="18"/>
        </w:rPr>
        <w:t>GB。该部分数据存储与云平台，由云平台提供存储空间。</w:t>
      </w:r>
    </w:p>
    <w:p>
      <w:pPr>
        <w:pStyle w:val="5"/>
        <w:rPr>
          <w:rFonts w:hint="default" w:asciiTheme="minorAscii" w:hAnsiTheme="minorAscii" w:eastAsiaTheme="minorEastAsia" w:cstheme="minorEastAsia"/>
          <w:sz w:val="18"/>
          <w:szCs w:val="18"/>
        </w:rPr>
      </w:pPr>
      <w:r>
        <w:rPr>
          <w:rFonts w:hint="default" w:asciiTheme="minorAscii" w:hAnsiTheme="minorAscii" w:eastAsiaTheme="minorEastAsia" w:cstheme="minorEastAsia"/>
          <w:sz w:val="18"/>
          <w:szCs w:val="18"/>
        </w:rPr>
        <w:t>视频等结构化数据</w:t>
      </w:r>
    </w:p>
    <w:tbl>
      <w:tblPr>
        <w:tblStyle w:val="18"/>
        <w:tblW w:w="4959" w:type="pct"/>
        <w:tblInd w:w="99" w:type="dxa"/>
        <w:tblLayout w:type="fixed"/>
        <w:tblCellMar>
          <w:top w:w="0" w:type="dxa"/>
          <w:left w:w="108" w:type="dxa"/>
          <w:bottom w:w="0" w:type="dxa"/>
          <w:right w:w="108" w:type="dxa"/>
        </w:tblCellMar>
      </w:tblPr>
      <w:tblGrid>
        <w:gridCol w:w="732"/>
        <w:gridCol w:w="1594"/>
        <w:gridCol w:w="677"/>
        <w:gridCol w:w="1455"/>
        <w:gridCol w:w="3270"/>
        <w:gridCol w:w="1260"/>
      </w:tblGrid>
      <w:tr>
        <w:tblPrEx>
          <w:tblCellMar>
            <w:top w:w="0" w:type="dxa"/>
            <w:left w:w="108" w:type="dxa"/>
            <w:bottom w:w="0" w:type="dxa"/>
            <w:right w:w="108" w:type="dxa"/>
          </w:tblCellMar>
        </w:tblPrEx>
        <w:trPr>
          <w:trHeight w:val="505" w:hRule="atLeast"/>
          <w:tblHeader/>
        </w:trPr>
        <w:tc>
          <w:tcPr>
            <w:tcW w:w="407"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序号</w:t>
            </w:r>
          </w:p>
        </w:tc>
        <w:tc>
          <w:tcPr>
            <w:tcW w:w="88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类型</w:t>
            </w:r>
          </w:p>
        </w:tc>
        <w:tc>
          <w:tcPr>
            <w:tcW w:w="376"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规模</w:t>
            </w:r>
          </w:p>
        </w:tc>
        <w:tc>
          <w:tcPr>
            <w:tcW w:w="80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主要数据描述</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数据测算过程</w:t>
            </w:r>
          </w:p>
        </w:tc>
        <w:tc>
          <w:tcPr>
            <w:tcW w:w="70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kern w:val="0"/>
                <w:sz w:val="18"/>
                <w:szCs w:val="18"/>
                <w:lang w:bidi="ar"/>
              </w:rPr>
            </w:pPr>
            <w:r>
              <w:rPr>
                <w:rFonts w:hint="default" w:asciiTheme="minorAscii" w:hAnsiTheme="minorAscii" w:eastAsiaTheme="minorEastAsia" w:cstheme="minorEastAsia"/>
                <w:b/>
                <w:bCs/>
                <w:color w:val="000000"/>
                <w:kern w:val="0"/>
                <w:sz w:val="18"/>
                <w:szCs w:val="18"/>
                <w:lang w:bidi="ar"/>
              </w:rPr>
              <w:t>数据量</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b/>
                <w:bCs/>
                <w:color w:val="000000"/>
                <w:sz w:val="18"/>
                <w:szCs w:val="18"/>
              </w:rPr>
            </w:pPr>
            <w:r>
              <w:rPr>
                <w:rFonts w:hint="default" w:asciiTheme="minorAscii" w:hAnsiTheme="minorAscii" w:eastAsiaTheme="minorEastAsia" w:cstheme="minorEastAsia"/>
                <w:b/>
                <w:bCs/>
                <w:color w:val="000000"/>
                <w:kern w:val="0"/>
                <w:sz w:val="18"/>
                <w:szCs w:val="18"/>
                <w:lang w:bidi="ar"/>
              </w:rPr>
              <w:t>（单位：G）</w:t>
            </w:r>
          </w:p>
        </w:tc>
      </w:tr>
      <w:tr>
        <w:tblPrEx>
          <w:tblCellMar>
            <w:top w:w="0" w:type="dxa"/>
            <w:left w:w="108" w:type="dxa"/>
            <w:bottom w:w="0" w:type="dxa"/>
            <w:right w:w="108" w:type="dxa"/>
          </w:tblCellMar>
        </w:tblPrEx>
        <w:trPr>
          <w:trHeight w:val="824" w:hRule="atLeast"/>
        </w:trPr>
        <w:tc>
          <w:tcPr>
            <w:tcW w:w="40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1</w:t>
            </w:r>
          </w:p>
        </w:tc>
        <w:tc>
          <w:tcPr>
            <w:tcW w:w="88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400万车流量分析摄像机</w:t>
            </w:r>
          </w:p>
        </w:tc>
        <w:tc>
          <w:tcPr>
            <w:tcW w:w="3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eastAsia="zh-CN"/>
              </w:rPr>
            </w:pPr>
            <w:r>
              <w:rPr>
                <w:rFonts w:hint="default" w:asciiTheme="minorAscii" w:hAnsiTheme="minorAscii" w:eastAsiaTheme="minorEastAsia" w:cstheme="minorEastAsia"/>
                <w:color w:val="000000"/>
                <w:kern w:val="0"/>
                <w:sz w:val="18"/>
                <w:szCs w:val="18"/>
                <w:lang w:val="en-US" w:eastAsia="zh-CN" w:bidi="ar"/>
              </w:rPr>
              <w:t>6</w:t>
            </w:r>
          </w:p>
        </w:tc>
        <w:tc>
          <w:tcPr>
            <w:tcW w:w="8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视频类</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按H265编码，每路4M码流，42G/天测算，存储30天测算，单台存储容量：1260G</w:t>
            </w:r>
          </w:p>
        </w:tc>
        <w:tc>
          <w:tcPr>
            <w:tcW w:w="7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val="en-US" w:eastAsia="zh-CN" w:bidi="ar"/>
              </w:rPr>
              <w:t>75</w:t>
            </w:r>
            <w:r>
              <w:rPr>
                <w:rFonts w:hint="default" w:asciiTheme="minorAscii" w:hAnsiTheme="minorAscii" w:eastAsiaTheme="minorEastAsia" w:cstheme="minorEastAsia"/>
                <w:color w:val="000000"/>
                <w:kern w:val="0"/>
                <w:sz w:val="18"/>
                <w:szCs w:val="18"/>
                <w:lang w:bidi="ar"/>
              </w:rPr>
              <w:t>60</w:t>
            </w:r>
          </w:p>
        </w:tc>
      </w:tr>
      <w:tr>
        <w:tblPrEx>
          <w:tblCellMar>
            <w:top w:w="0" w:type="dxa"/>
            <w:left w:w="108" w:type="dxa"/>
            <w:bottom w:w="0" w:type="dxa"/>
            <w:right w:w="108" w:type="dxa"/>
          </w:tblCellMar>
        </w:tblPrEx>
        <w:trPr>
          <w:trHeight w:val="856" w:hRule="atLeast"/>
        </w:trPr>
        <w:tc>
          <w:tcPr>
            <w:tcW w:w="40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eastAsia="zh-CN"/>
              </w:rPr>
            </w:pPr>
            <w:r>
              <w:rPr>
                <w:rFonts w:hint="default" w:asciiTheme="minorAscii" w:hAnsiTheme="minorAscii" w:eastAsiaTheme="minorEastAsia" w:cstheme="minorEastAsia"/>
                <w:color w:val="000000"/>
                <w:kern w:val="0"/>
                <w:sz w:val="18"/>
                <w:szCs w:val="18"/>
                <w:lang w:val="en-US" w:eastAsia="zh-CN" w:bidi="ar"/>
              </w:rPr>
              <w:t>2</w:t>
            </w:r>
          </w:p>
        </w:tc>
        <w:tc>
          <w:tcPr>
            <w:tcW w:w="88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400万高点云台</w:t>
            </w:r>
          </w:p>
        </w:tc>
        <w:tc>
          <w:tcPr>
            <w:tcW w:w="3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1</w:t>
            </w:r>
          </w:p>
        </w:tc>
        <w:tc>
          <w:tcPr>
            <w:tcW w:w="8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视频类</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按H265编码，每路4M码流，42G/天测算，存储30天测算，单台存储容量：1260G</w:t>
            </w:r>
          </w:p>
        </w:tc>
        <w:tc>
          <w:tcPr>
            <w:tcW w:w="7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1260</w:t>
            </w:r>
          </w:p>
        </w:tc>
      </w:tr>
      <w:tr>
        <w:tblPrEx>
          <w:tblCellMar>
            <w:top w:w="0" w:type="dxa"/>
            <w:left w:w="108" w:type="dxa"/>
            <w:bottom w:w="0" w:type="dxa"/>
            <w:right w:w="108" w:type="dxa"/>
          </w:tblCellMar>
        </w:tblPrEx>
        <w:trPr>
          <w:trHeight w:val="845" w:hRule="atLeast"/>
        </w:trPr>
        <w:tc>
          <w:tcPr>
            <w:tcW w:w="40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eastAsia="zh-CN"/>
              </w:rPr>
            </w:pPr>
            <w:r>
              <w:rPr>
                <w:rFonts w:hint="default" w:asciiTheme="minorAscii" w:hAnsiTheme="minorAscii" w:eastAsiaTheme="minorEastAsia" w:cstheme="minorEastAsia"/>
                <w:color w:val="000000"/>
                <w:kern w:val="0"/>
                <w:sz w:val="18"/>
                <w:szCs w:val="18"/>
                <w:lang w:val="en-US" w:eastAsia="zh-CN" w:bidi="ar"/>
              </w:rPr>
              <w:t>3</w:t>
            </w:r>
          </w:p>
        </w:tc>
        <w:tc>
          <w:tcPr>
            <w:tcW w:w="88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2400万高点AR全景相机</w:t>
            </w:r>
          </w:p>
        </w:tc>
        <w:tc>
          <w:tcPr>
            <w:tcW w:w="3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2</w:t>
            </w:r>
          </w:p>
        </w:tc>
        <w:tc>
          <w:tcPr>
            <w:tcW w:w="8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视频类</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按H265编码，每路24M码流，252G/天测算，存储30天测算，单台存储容量：7560G</w:t>
            </w:r>
          </w:p>
        </w:tc>
        <w:tc>
          <w:tcPr>
            <w:tcW w:w="7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15120</w:t>
            </w:r>
          </w:p>
        </w:tc>
      </w:tr>
      <w:tr>
        <w:tblPrEx>
          <w:tblCellMar>
            <w:top w:w="0" w:type="dxa"/>
            <w:left w:w="108" w:type="dxa"/>
            <w:bottom w:w="0" w:type="dxa"/>
            <w:right w:w="108" w:type="dxa"/>
          </w:tblCellMar>
        </w:tblPrEx>
        <w:trPr>
          <w:trHeight w:val="905" w:hRule="atLeast"/>
        </w:trPr>
        <w:tc>
          <w:tcPr>
            <w:tcW w:w="40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kern w:val="0"/>
                <w:sz w:val="18"/>
                <w:szCs w:val="18"/>
                <w:lang w:val="en-US" w:eastAsia="zh-CN" w:bidi="ar"/>
              </w:rPr>
            </w:pPr>
            <w:r>
              <w:rPr>
                <w:rFonts w:hint="default" w:asciiTheme="minorAscii" w:hAnsiTheme="minorAscii" w:eastAsiaTheme="minorEastAsia" w:cstheme="minorEastAsia"/>
                <w:color w:val="000000"/>
                <w:kern w:val="0"/>
                <w:sz w:val="18"/>
                <w:szCs w:val="18"/>
                <w:lang w:val="en-US" w:eastAsia="zh-CN" w:bidi="ar"/>
              </w:rPr>
              <w:t>4</w:t>
            </w:r>
          </w:p>
        </w:tc>
        <w:tc>
          <w:tcPr>
            <w:tcW w:w="88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kern w:val="0"/>
                <w:sz w:val="18"/>
                <w:szCs w:val="18"/>
                <w:lang w:val="en-US" w:eastAsia="zh-CN" w:bidi="ar"/>
              </w:rPr>
            </w:pPr>
            <w:r>
              <w:rPr>
                <w:rFonts w:hint="default" w:asciiTheme="minorAscii" w:hAnsiTheme="minorAscii" w:eastAsiaTheme="minorEastAsia" w:cstheme="minorEastAsia"/>
                <w:color w:val="000000"/>
                <w:kern w:val="0"/>
                <w:sz w:val="18"/>
                <w:szCs w:val="18"/>
                <w:lang w:val="en-US" w:eastAsia="zh-CN" w:bidi="ar"/>
              </w:rPr>
              <w:t>400万热成像双光谱中载云台</w:t>
            </w:r>
          </w:p>
        </w:tc>
        <w:tc>
          <w:tcPr>
            <w:tcW w:w="3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kern w:val="0"/>
                <w:sz w:val="18"/>
                <w:szCs w:val="18"/>
                <w:lang w:val="en-US" w:eastAsia="zh-CN" w:bidi="ar"/>
              </w:rPr>
            </w:pPr>
            <w:r>
              <w:rPr>
                <w:rFonts w:hint="default" w:asciiTheme="minorAscii" w:hAnsiTheme="minorAscii" w:eastAsiaTheme="minorEastAsia" w:cstheme="minorEastAsia"/>
                <w:color w:val="000000"/>
                <w:kern w:val="0"/>
                <w:sz w:val="18"/>
                <w:szCs w:val="18"/>
                <w:lang w:val="en-US" w:eastAsia="zh-CN" w:bidi="ar"/>
              </w:rPr>
              <w:t>16</w:t>
            </w:r>
          </w:p>
        </w:tc>
        <w:tc>
          <w:tcPr>
            <w:tcW w:w="8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kern w:val="0"/>
                <w:sz w:val="18"/>
                <w:szCs w:val="18"/>
                <w:lang w:bidi="ar"/>
              </w:rPr>
            </w:pPr>
            <w:r>
              <w:rPr>
                <w:rFonts w:hint="default" w:asciiTheme="minorAscii" w:hAnsiTheme="minorAscii" w:eastAsiaTheme="minorEastAsia" w:cstheme="minorEastAsia"/>
                <w:color w:val="000000"/>
                <w:kern w:val="0"/>
                <w:sz w:val="18"/>
                <w:szCs w:val="18"/>
                <w:lang w:bidi="ar"/>
              </w:rPr>
              <w:t>视频类</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kern w:val="0"/>
                <w:sz w:val="18"/>
                <w:szCs w:val="18"/>
                <w:lang w:bidi="ar"/>
              </w:rPr>
            </w:pPr>
            <w:r>
              <w:rPr>
                <w:rFonts w:hint="default" w:asciiTheme="minorAscii" w:hAnsiTheme="minorAscii" w:eastAsiaTheme="minorEastAsia" w:cstheme="minorEastAsia"/>
                <w:color w:val="000000"/>
                <w:kern w:val="0"/>
                <w:sz w:val="18"/>
                <w:szCs w:val="18"/>
                <w:lang w:bidi="ar"/>
              </w:rPr>
              <w:t>按H265编码，每路4M码流，42G/天测算，存储30天测算，单台存储容量：1260G</w:t>
            </w:r>
          </w:p>
        </w:tc>
        <w:tc>
          <w:tcPr>
            <w:tcW w:w="7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kern w:val="0"/>
                <w:sz w:val="18"/>
                <w:szCs w:val="18"/>
                <w:lang w:val="en-US" w:eastAsia="zh-CN" w:bidi="ar"/>
              </w:rPr>
            </w:pPr>
            <w:r>
              <w:rPr>
                <w:rFonts w:hint="default" w:asciiTheme="minorAscii" w:hAnsiTheme="minorAscii" w:eastAsiaTheme="minorEastAsia" w:cstheme="minorEastAsia"/>
                <w:color w:val="000000"/>
                <w:kern w:val="0"/>
                <w:sz w:val="18"/>
                <w:szCs w:val="18"/>
                <w:lang w:val="en-US" w:eastAsia="zh-CN" w:bidi="ar"/>
              </w:rPr>
              <w:t>20160</w:t>
            </w:r>
          </w:p>
        </w:tc>
      </w:tr>
      <w:tr>
        <w:tblPrEx>
          <w:tblCellMar>
            <w:top w:w="0" w:type="dxa"/>
            <w:left w:w="108" w:type="dxa"/>
            <w:bottom w:w="0" w:type="dxa"/>
            <w:right w:w="108" w:type="dxa"/>
          </w:tblCellMar>
        </w:tblPrEx>
        <w:trPr>
          <w:trHeight w:val="870" w:hRule="atLeast"/>
        </w:trPr>
        <w:tc>
          <w:tcPr>
            <w:tcW w:w="40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5</w:t>
            </w:r>
          </w:p>
        </w:tc>
        <w:tc>
          <w:tcPr>
            <w:tcW w:w="88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800万全景感知摄像机</w:t>
            </w:r>
          </w:p>
        </w:tc>
        <w:tc>
          <w:tcPr>
            <w:tcW w:w="3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val="en-US" w:eastAsia="zh-CN"/>
              </w:rPr>
            </w:pPr>
            <w:r>
              <w:rPr>
                <w:rFonts w:hint="default" w:asciiTheme="minorAscii" w:hAnsiTheme="minorAscii" w:eastAsiaTheme="minorEastAsia" w:cstheme="minorEastAsia"/>
                <w:color w:val="000000"/>
                <w:kern w:val="0"/>
                <w:sz w:val="18"/>
                <w:szCs w:val="18"/>
                <w:lang w:val="en-US" w:eastAsia="zh-CN" w:bidi="ar"/>
              </w:rPr>
              <w:t>37</w:t>
            </w:r>
          </w:p>
        </w:tc>
        <w:tc>
          <w:tcPr>
            <w:tcW w:w="8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视频类</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按H265编码，每路8M码流，84G/天测算，存储30天测算，单台存储容量：2520G</w:t>
            </w:r>
          </w:p>
        </w:tc>
        <w:tc>
          <w:tcPr>
            <w:tcW w:w="7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val="en-US" w:eastAsia="zh-CN"/>
              </w:rPr>
            </w:pPr>
            <w:r>
              <w:rPr>
                <w:rFonts w:hint="default" w:asciiTheme="minorAscii" w:hAnsiTheme="minorAscii" w:eastAsiaTheme="minorEastAsia" w:cstheme="minorEastAsia"/>
                <w:color w:val="000000"/>
                <w:kern w:val="0"/>
                <w:sz w:val="18"/>
                <w:szCs w:val="18"/>
                <w:lang w:val="en-US" w:eastAsia="zh-CN" w:bidi="ar"/>
              </w:rPr>
              <w:t>93240</w:t>
            </w:r>
          </w:p>
        </w:tc>
      </w:tr>
      <w:tr>
        <w:tblPrEx>
          <w:tblCellMar>
            <w:top w:w="0" w:type="dxa"/>
            <w:left w:w="108" w:type="dxa"/>
            <w:bottom w:w="0" w:type="dxa"/>
            <w:right w:w="108" w:type="dxa"/>
          </w:tblCellMar>
        </w:tblPrEx>
        <w:trPr>
          <w:trHeight w:val="1140" w:hRule="atLeast"/>
        </w:trPr>
        <w:tc>
          <w:tcPr>
            <w:tcW w:w="40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6</w:t>
            </w:r>
          </w:p>
        </w:tc>
        <w:tc>
          <w:tcPr>
            <w:tcW w:w="88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图像抓拍</w:t>
            </w:r>
          </w:p>
        </w:tc>
        <w:tc>
          <w:tcPr>
            <w:tcW w:w="3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val="en-US" w:eastAsia="zh-CN"/>
              </w:rPr>
            </w:pPr>
            <w:r>
              <w:rPr>
                <w:rFonts w:hint="default" w:asciiTheme="minorAscii" w:hAnsiTheme="minorAscii" w:eastAsiaTheme="minorEastAsia" w:cstheme="minorEastAsia"/>
                <w:color w:val="000000"/>
                <w:kern w:val="0"/>
                <w:sz w:val="18"/>
                <w:szCs w:val="18"/>
                <w:lang w:val="en-US" w:eastAsia="zh-CN" w:bidi="ar"/>
              </w:rPr>
              <w:t>62</w:t>
            </w:r>
          </w:p>
        </w:tc>
        <w:tc>
          <w:tcPr>
            <w:tcW w:w="8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图像类</w:t>
            </w: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按照单张图片大小按照2M估算，每台摄像机每天抓拍图片数量按50张预估，图片存储按照365天测算，则单台摄像机存储容量为：36500M</w:t>
            </w:r>
          </w:p>
        </w:tc>
        <w:tc>
          <w:tcPr>
            <w:tcW w:w="7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val="en-US" w:eastAsia="zh-CN"/>
              </w:rPr>
            </w:pPr>
            <w:r>
              <w:rPr>
                <w:rFonts w:hint="default" w:asciiTheme="minorAscii" w:hAnsiTheme="minorAscii" w:eastAsiaTheme="minorEastAsia" w:cstheme="minorEastAsia"/>
                <w:color w:val="000000"/>
                <w:kern w:val="0"/>
                <w:sz w:val="18"/>
                <w:szCs w:val="18"/>
                <w:lang w:val="en-US" w:eastAsia="zh-CN" w:bidi="ar"/>
              </w:rPr>
              <w:t>2209</w:t>
            </w:r>
          </w:p>
        </w:tc>
      </w:tr>
      <w:tr>
        <w:tblPrEx>
          <w:tblCellMar>
            <w:top w:w="0" w:type="dxa"/>
            <w:left w:w="108" w:type="dxa"/>
            <w:bottom w:w="0" w:type="dxa"/>
            <w:right w:w="108" w:type="dxa"/>
          </w:tblCellMar>
        </w:tblPrEx>
        <w:trPr>
          <w:trHeight w:val="530" w:hRule="atLeast"/>
        </w:trPr>
        <w:tc>
          <w:tcPr>
            <w:tcW w:w="40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7</w:t>
            </w:r>
          </w:p>
        </w:tc>
        <w:tc>
          <w:tcPr>
            <w:tcW w:w="88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rPr>
            </w:pPr>
            <w:r>
              <w:rPr>
                <w:rFonts w:hint="default" w:asciiTheme="minorAscii" w:hAnsiTheme="minorAscii" w:eastAsiaTheme="minorEastAsia" w:cstheme="minorEastAsia"/>
                <w:color w:val="000000"/>
                <w:kern w:val="0"/>
                <w:sz w:val="18"/>
                <w:szCs w:val="18"/>
                <w:lang w:bidi="ar"/>
              </w:rPr>
              <w:t>总计存储容量</w:t>
            </w:r>
          </w:p>
        </w:tc>
        <w:tc>
          <w:tcPr>
            <w:tcW w:w="37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8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1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heme="minorAscii" w:hAnsiTheme="minorAscii" w:eastAsiaTheme="minorEastAsia" w:cstheme="minorEastAsia"/>
                <w:color w:val="000000"/>
                <w:sz w:val="18"/>
                <w:szCs w:val="18"/>
              </w:rPr>
            </w:pPr>
          </w:p>
        </w:tc>
        <w:tc>
          <w:tcPr>
            <w:tcW w:w="7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heme="minorAscii" w:hAnsiTheme="minorAscii" w:eastAsiaTheme="minorEastAsia" w:cstheme="minorEastAsia"/>
                <w:color w:val="000000"/>
                <w:sz w:val="18"/>
                <w:szCs w:val="18"/>
                <w:lang w:val="en-US" w:eastAsia="zh-CN"/>
              </w:rPr>
            </w:pPr>
            <w:r>
              <w:rPr>
                <w:rFonts w:hint="default" w:asciiTheme="minorAscii" w:hAnsiTheme="minorAscii" w:eastAsiaTheme="minorEastAsia" w:cstheme="minorEastAsia"/>
                <w:color w:val="000000"/>
                <w:kern w:val="0"/>
                <w:sz w:val="18"/>
                <w:szCs w:val="18"/>
                <w:lang w:val="en-US" w:eastAsia="zh-CN" w:bidi="ar"/>
              </w:rPr>
              <w:t>139549</w:t>
            </w:r>
          </w:p>
        </w:tc>
      </w:tr>
    </w:tbl>
    <w:p>
      <w:pPr>
        <w:keepNext w:val="0"/>
        <w:keepLines w:val="0"/>
        <w:pageBreakBefore w:val="0"/>
        <w:widowControl w:val="0"/>
        <w:kinsoku/>
        <w:wordWrap/>
        <w:overflowPunct/>
        <w:topLinePunct w:val="0"/>
        <w:autoSpaceDE/>
        <w:autoSpaceDN/>
        <w:bidi w:val="0"/>
        <w:adjustRightInd w:val="0"/>
        <w:snapToGrid w:val="0"/>
        <w:spacing w:before="333" w:beforeLines="100"/>
        <w:ind w:firstLine="520"/>
        <w:textAlignment w:val="auto"/>
        <w:rPr>
          <w:rFonts w:hint="default" w:asciiTheme="minorAscii" w:hAnsiTheme="minorAscii" w:eastAsiaTheme="minorEastAsia" w:cstheme="minorEastAsia"/>
          <w:sz w:val="24"/>
          <w:szCs w:val="24"/>
        </w:rPr>
      </w:pPr>
      <w:r>
        <w:rPr>
          <w:rFonts w:hint="default" w:asciiTheme="minorAscii" w:hAnsiTheme="minorAscii" w:eastAsiaTheme="minorEastAsia" w:cstheme="minorEastAsia"/>
          <w:snapToGrid w:val="0"/>
          <w:color w:val="000000"/>
          <w:spacing w:val="0"/>
          <w:kern w:val="0"/>
          <w:sz w:val="24"/>
          <w:szCs w:val="24"/>
        </w:rPr>
        <w:t>根据上表统计，每年产生的非结构化数据量为</w:t>
      </w:r>
      <w:r>
        <w:rPr>
          <w:rFonts w:hint="default" w:asciiTheme="minorAscii" w:hAnsiTheme="minorAscii" w:eastAsiaTheme="minorEastAsia" w:cstheme="minorEastAsia"/>
          <w:snapToGrid w:val="0"/>
          <w:color w:val="000000"/>
          <w:spacing w:val="0"/>
          <w:kern w:val="0"/>
          <w:sz w:val="24"/>
          <w:szCs w:val="24"/>
          <w:lang w:val="en-US" w:eastAsia="zh-CN"/>
        </w:rPr>
        <w:t>139549</w:t>
      </w:r>
      <w:r>
        <w:rPr>
          <w:rFonts w:hint="default" w:asciiTheme="minorAscii" w:hAnsiTheme="minorAscii" w:eastAsiaTheme="minorEastAsia" w:cstheme="minorEastAsia"/>
          <w:snapToGrid w:val="0"/>
          <w:color w:val="000000"/>
          <w:spacing w:val="0"/>
          <w:kern w:val="0"/>
          <w:sz w:val="24"/>
          <w:szCs w:val="24"/>
        </w:rPr>
        <w:t>G。该部分数据存储于视频</w:t>
      </w:r>
      <w:r>
        <w:rPr>
          <w:rFonts w:hint="default" w:asciiTheme="minorAscii" w:hAnsiTheme="minorAscii" w:eastAsiaTheme="minorEastAsia" w:cstheme="minorEastAsia"/>
          <w:snapToGrid w:val="0"/>
          <w:color w:val="000000"/>
          <w:spacing w:val="0"/>
          <w:kern w:val="0"/>
          <w:sz w:val="24"/>
          <w:szCs w:val="24"/>
          <w:lang w:val="en-US" w:eastAsia="zh-CN"/>
        </w:rPr>
        <w:t>云</w:t>
      </w:r>
      <w:r>
        <w:rPr>
          <w:rFonts w:hint="default" w:asciiTheme="minorAscii" w:hAnsiTheme="minorAscii" w:eastAsiaTheme="minorEastAsia" w:cstheme="minorEastAsia"/>
          <w:snapToGrid w:val="0"/>
          <w:color w:val="000000"/>
          <w:spacing w:val="0"/>
          <w:kern w:val="0"/>
          <w:sz w:val="24"/>
          <w:szCs w:val="24"/>
        </w:rPr>
        <w:t>存储介质上。</w:t>
      </w: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BA"/>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A00002BF" w:usb1="38CF7CFA" w:usb2="00082016" w:usb3="00000000" w:csb0="00040001" w:csb1="00000000"/>
  </w:font>
  <w:font w:name="Calibri Light">
    <w:altName w:val="DejaVu Sans"/>
    <w:panose1 w:val="020F0302020204030204"/>
    <w:charset w:val="00"/>
    <w:family w:val="auto"/>
    <w:pitch w:val="default"/>
    <w:sig w:usb0="00000000" w:usb1="00000000" w:usb2="00000009" w:usb3="00000000" w:csb0="200001FF" w:csb1="00000000"/>
  </w:font>
  <w:font w:name="MingLiU">
    <w:altName w:val="方正书宋_GBK"/>
    <w:panose1 w:val="02020509000000000000"/>
    <w:charset w:val="88"/>
    <w:family w:val="modern"/>
    <w:pitch w:val="default"/>
    <w:sig w:usb0="00000000" w:usb1="00000000" w:usb2="00000016" w:usb3="00000000" w:csb0="00100001"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Segoe UI">
    <w:altName w:val="Noto Naskh Arabic"/>
    <w:panose1 w:val="020B0502040204020203"/>
    <w:charset w:val="00"/>
    <w:family w:val="swiss"/>
    <w:pitch w:val="default"/>
    <w:sig w:usb0="00000000" w:usb1="00000000" w:usb2="00000009" w:usb3="00000000" w:csb0="200001FF" w:csb1="00000000"/>
  </w:font>
  <w:font w:name="Noto Naskh Arabic">
    <w:panose1 w:val="020B0502040504020204"/>
    <w:charset w:val="00"/>
    <w:family w:val="auto"/>
    <w:pitch w:val="default"/>
    <w:sig w:usb0="80002003" w:usb1="80002000" w:usb2="00000008" w:usb3="00000000" w:csb0="00000041" w:csb1="00080000"/>
  </w:font>
  <w:font w:name="方正小标宋简体">
    <w:panose1 w:val="02000000000000000000"/>
    <w:charset w:val="86"/>
    <w:family w:val="auto"/>
    <w:pitch w:val="default"/>
    <w:sig w:usb0="A00002BF" w:usb1="184F6CFA" w:usb2="00000012" w:usb3="00000000" w:csb0="00040001" w:csb1="00000000"/>
  </w:font>
  <w:font w:name="MetaNormalLF-Roman">
    <w:altName w:val="华文中宋"/>
    <w:panose1 w:val="00000000000000000000"/>
    <w:charset w:val="00"/>
    <w:family w:val="auto"/>
    <w:pitch w:val="default"/>
    <w:sig w:usb0="00000000" w:usb1="00000000" w:usb2="00000010"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4907D"/>
    <w:multiLevelType w:val="singleLevel"/>
    <w:tmpl w:val="8724907D"/>
    <w:lvl w:ilvl="0" w:tentative="0">
      <w:start w:val="1"/>
      <w:numFmt w:val="decimal"/>
      <w:lvlText w:val="%1)"/>
      <w:lvlJc w:val="left"/>
      <w:pPr>
        <w:ind w:left="425" w:hanging="425"/>
      </w:pPr>
      <w:rPr>
        <w:rFonts w:hint="default"/>
      </w:rPr>
    </w:lvl>
  </w:abstractNum>
  <w:abstractNum w:abstractNumId="1">
    <w:nsid w:val="87BBDD86"/>
    <w:multiLevelType w:val="singleLevel"/>
    <w:tmpl w:val="87BBDD86"/>
    <w:lvl w:ilvl="0" w:tentative="0">
      <w:start w:val="1"/>
      <w:numFmt w:val="decimal"/>
      <w:suff w:val="space"/>
      <w:lvlText w:val="%1)"/>
      <w:lvlJc w:val="left"/>
      <w:pPr>
        <w:ind w:left="0" w:leftChars="0" w:firstLine="567" w:firstLineChars="0"/>
      </w:pPr>
      <w:rPr>
        <w:rFonts w:hint="default"/>
      </w:rPr>
    </w:lvl>
  </w:abstractNum>
  <w:abstractNum w:abstractNumId="2">
    <w:nsid w:val="8F7D2EBD"/>
    <w:multiLevelType w:val="singleLevel"/>
    <w:tmpl w:val="8F7D2EBD"/>
    <w:lvl w:ilvl="0" w:tentative="0">
      <w:start w:val="1"/>
      <w:numFmt w:val="decimal"/>
      <w:lvlText w:val="%1)"/>
      <w:lvlJc w:val="left"/>
      <w:pPr>
        <w:ind w:left="425" w:hanging="425"/>
      </w:pPr>
      <w:rPr>
        <w:rFonts w:hint="default"/>
      </w:rPr>
    </w:lvl>
  </w:abstractNum>
  <w:abstractNum w:abstractNumId="3">
    <w:nsid w:val="90024129"/>
    <w:multiLevelType w:val="singleLevel"/>
    <w:tmpl w:val="90024129"/>
    <w:lvl w:ilvl="0" w:tentative="0">
      <w:start w:val="1"/>
      <w:numFmt w:val="decimal"/>
      <w:suff w:val="space"/>
      <w:lvlText w:val="%1."/>
      <w:lvlJc w:val="left"/>
    </w:lvl>
  </w:abstractNum>
  <w:abstractNum w:abstractNumId="4">
    <w:nsid w:val="920852D0"/>
    <w:multiLevelType w:val="singleLevel"/>
    <w:tmpl w:val="920852D0"/>
    <w:lvl w:ilvl="0" w:tentative="0">
      <w:start w:val="1"/>
      <w:numFmt w:val="decimal"/>
      <w:lvlText w:val="%1)"/>
      <w:lvlJc w:val="left"/>
      <w:pPr>
        <w:ind w:left="425" w:hanging="425"/>
      </w:pPr>
      <w:rPr>
        <w:rFonts w:hint="default"/>
      </w:rPr>
    </w:lvl>
  </w:abstractNum>
  <w:abstractNum w:abstractNumId="5">
    <w:nsid w:val="92FA300C"/>
    <w:multiLevelType w:val="singleLevel"/>
    <w:tmpl w:val="92FA300C"/>
    <w:lvl w:ilvl="0" w:tentative="0">
      <w:start w:val="1"/>
      <w:numFmt w:val="decimal"/>
      <w:lvlText w:val="%1)"/>
      <w:lvlJc w:val="left"/>
      <w:pPr>
        <w:ind w:left="425" w:hanging="425"/>
      </w:pPr>
      <w:rPr>
        <w:rFonts w:hint="default"/>
      </w:rPr>
    </w:lvl>
  </w:abstractNum>
  <w:abstractNum w:abstractNumId="6">
    <w:nsid w:val="9303C677"/>
    <w:multiLevelType w:val="singleLevel"/>
    <w:tmpl w:val="9303C677"/>
    <w:lvl w:ilvl="0" w:tentative="0">
      <w:start w:val="1"/>
      <w:numFmt w:val="decimal"/>
      <w:lvlText w:val="%1)"/>
      <w:lvlJc w:val="left"/>
      <w:pPr>
        <w:ind w:left="425" w:hanging="425"/>
      </w:pPr>
      <w:rPr>
        <w:rFonts w:hint="default"/>
      </w:rPr>
    </w:lvl>
  </w:abstractNum>
  <w:abstractNum w:abstractNumId="7">
    <w:nsid w:val="A452226A"/>
    <w:multiLevelType w:val="singleLevel"/>
    <w:tmpl w:val="A452226A"/>
    <w:lvl w:ilvl="0" w:tentative="0">
      <w:start w:val="1"/>
      <w:numFmt w:val="decimal"/>
      <w:suff w:val="space"/>
      <w:lvlText w:val="%1)"/>
      <w:lvlJc w:val="left"/>
      <w:pPr>
        <w:ind w:left="0" w:leftChars="0" w:firstLine="567" w:firstLineChars="0"/>
      </w:pPr>
      <w:rPr>
        <w:rFonts w:hint="default"/>
      </w:rPr>
    </w:lvl>
  </w:abstractNum>
  <w:abstractNum w:abstractNumId="8">
    <w:nsid w:val="B03D3CF6"/>
    <w:multiLevelType w:val="singleLevel"/>
    <w:tmpl w:val="B03D3CF6"/>
    <w:lvl w:ilvl="0" w:tentative="0">
      <w:start w:val="1"/>
      <w:numFmt w:val="decimal"/>
      <w:lvlText w:val="%1)"/>
      <w:lvlJc w:val="left"/>
      <w:pPr>
        <w:ind w:left="425" w:hanging="425"/>
      </w:pPr>
      <w:rPr>
        <w:rFonts w:hint="default"/>
      </w:rPr>
    </w:lvl>
  </w:abstractNum>
  <w:abstractNum w:abstractNumId="9">
    <w:nsid w:val="B3540FCC"/>
    <w:multiLevelType w:val="singleLevel"/>
    <w:tmpl w:val="B3540FCC"/>
    <w:lvl w:ilvl="0" w:tentative="0">
      <w:start w:val="1"/>
      <w:numFmt w:val="decimal"/>
      <w:lvlText w:val="%1)"/>
      <w:lvlJc w:val="left"/>
      <w:pPr>
        <w:ind w:left="425" w:hanging="425"/>
      </w:pPr>
      <w:rPr>
        <w:rFonts w:hint="default"/>
      </w:rPr>
    </w:lvl>
  </w:abstractNum>
  <w:abstractNum w:abstractNumId="10">
    <w:nsid w:val="C2793433"/>
    <w:multiLevelType w:val="singleLevel"/>
    <w:tmpl w:val="C2793433"/>
    <w:lvl w:ilvl="0" w:tentative="0">
      <w:start w:val="1"/>
      <w:numFmt w:val="decimal"/>
      <w:lvlText w:val="%1)"/>
      <w:lvlJc w:val="left"/>
      <w:pPr>
        <w:ind w:left="425" w:hanging="425"/>
      </w:pPr>
      <w:rPr>
        <w:rFonts w:hint="default"/>
      </w:rPr>
    </w:lvl>
  </w:abstractNum>
  <w:abstractNum w:abstractNumId="11">
    <w:nsid w:val="C9844F63"/>
    <w:multiLevelType w:val="singleLevel"/>
    <w:tmpl w:val="C9844F63"/>
    <w:lvl w:ilvl="0" w:tentative="0">
      <w:start w:val="1"/>
      <w:numFmt w:val="decimal"/>
      <w:suff w:val="space"/>
      <w:lvlText w:val="%1."/>
      <w:lvlJc w:val="left"/>
    </w:lvl>
  </w:abstractNum>
  <w:abstractNum w:abstractNumId="12">
    <w:nsid w:val="DFAD9B96"/>
    <w:multiLevelType w:val="multilevel"/>
    <w:tmpl w:val="DFAD9B96"/>
    <w:lvl w:ilvl="0" w:tentative="0">
      <w:start w:val="1"/>
      <w:numFmt w:val="bullet"/>
      <w:lvlText w:val=""/>
      <w:lvlJc w:val="left"/>
      <w:pPr>
        <w:ind w:left="900" w:hanging="420"/>
      </w:pPr>
      <w:rPr>
        <w:rFonts w:hint="default" w:ascii="Wingdings" w:hAnsi="Wingdings" w:cs="Wingdings"/>
      </w:rPr>
    </w:lvl>
    <w:lvl w:ilvl="1" w:tentative="0">
      <w:start w:val="1"/>
      <w:numFmt w:val="bullet"/>
      <w:lvlText w:val=""/>
      <w:lvlJc w:val="left"/>
      <w:pPr>
        <w:ind w:left="1320" w:hanging="420"/>
      </w:pPr>
      <w:rPr>
        <w:rFonts w:hint="default" w:ascii="MetaNormalLF-Roman" w:hAnsi="MetaNormalLF-Roman" w:eastAsia="MetaNormalLF-Roman" w:cs="MetaNormalLF-Roman"/>
      </w:rPr>
    </w:lvl>
    <w:lvl w:ilvl="2" w:tentative="0">
      <w:start w:val="1"/>
      <w:numFmt w:val="bullet"/>
      <w:lvlText w:val=""/>
      <w:lvlJc w:val="left"/>
      <w:pPr>
        <w:ind w:left="1740" w:hanging="420"/>
      </w:pPr>
      <w:rPr>
        <w:rFonts w:hint="default" w:ascii="MetaNormalLF-Roman" w:hAnsi="MetaNormalLF-Roman" w:eastAsia="MetaNormalLF-Roman" w:cs="MetaNormalLF-Roman"/>
      </w:rPr>
    </w:lvl>
    <w:lvl w:ilvl="3" w:tentative="0">
      <w:start w:val="1"/>
      <w:numFmt w:val="bullet"/>
      <w:lvlText w:val=""/>
      <w:lvlJc w:val="left"/>
      <w:pPr>
        <w:ind w:left="2160" w:hanging="420"/>
      </w:pPr>
      <w:rPr>
        <w:rFonts w:hint="default" w:ascii="MetaNormalLF-Roman" w:hAnsi="MetaNormalLF-Roman" w:eastAsia="MetaNormalLF-Roman" w:cs="MetaNormalLF-Roman"/>
      </w:rPr>
    </w:lvl>
    <w:lvl w:ilvl="4" w:tentative="0">
      <w:start w:val="1"/>
      <w:numFmt w:val="bullet"/>
      <w:lvlText w:val=""/>
      <w:lvlJc w:val="left"/>
      <w:pPr>
        <w:ind w:left="2580" w:hanging="420"/>
      </w:pPr>
      <w:rPr>
        <w:rFonts w:hint="default" w:ascii="MetaNormalLF-Roman" w:hAnsi="MetaNormalLF-Roman" w:eastAsia="MetaNormalLF-Roman" w:cs="MetaNormalLF-Roman"/>
      </w:rPr>
    </w:lvl>
    <w:lvl w:ilvl="5" w:tentative="0">
      <w:start w:val="1"/>
      <w:numFmt w:val="bullet"/>
      <w:lvlText w:val=""/>
      <w:lvlJc w:val="left"/>
      <w:pPr>
        <w:ind w:left="3000" w:hanging="420"/>
      </w:pPr>
      <w:rPr>
        <w:rFonts w:hint="default" w:ascii="MetaNormalLF-Roman" w:hAnsi="MetaNormalLF-Roman" w:eastAsia="MetaNormalLF-Roman" w:cs="MetaNormalLF-Roman"/>
      </w:rPr>
    </w:lvl>
    <w:lvl w:ilvl="6" w:tentative="0">
      <w:start w:val="1"/>
      <w:numFmt w:val="bullet"/>
      <w:lvlText w:val=""/>
      <w:lvlJc w:val="left"/>
      <w:pPr>
        <w:ind w:left="3420" w:hanging="420"/>
      </w:pPr>
      <w:rPr>
        <w:rFonts w:hint="default" w:ascii="MetaNormalLF-Roman" w:hAnsi="MetaNormalLF-Roman" w:eastAsia="MetaNormalLF-Roman" w:cs="MetaNormalLF-Roman"/>
      </w:rPr>
    </w:lvl>
    <w:lvl w:ilvl="7" w:tentative="0">
      <w:start w:val="1"/>
      <w:numFmt w:val="bullet"/>
      <w:lvlText w:val=""/>
      <w:lvlJc w:val="left"/>
      <w:pPr>
        <w:ind w:left="3840" w:hanging="420"/>
      </w:pPr>
      <w:rPr>
        <w:rFonts w:hint="default" w:ascii="MetaNormalLF-Roman" w:hAnsi="MetaNormalLF-Roman" w:eastAsia="MetaNormalLF-Roman" w:cs="MetaNormalLF-Roman"/>
      </w:rPr>
    </w:lvl>
    <w:lvl w:ilvl="8" w:tentative="0">
      <w:start w:val="1"/>
      <w:numFmt w:val="bullet"/>
      <w:lvlText w:val=""/>
      <w:lvlJc w:val="left"/>
      <w:pPr>
        <w:ind w:left="4260" w:hanging="420"/>
      </w:pPr>
      <w:rPr>
        <w:rFonts w:hint="default" w:ascii="MetaNormalLF-Roman" w:hAnsi="MetaNormalLF-Roman" w:eastAsia="MetaNormalLF-Roman" w:cs="MetaNormalLF-Roman"/>
      </w:rPr>
    </w:lvl>
  </w:abstractNum>
  <w:abstractNum w:abstractNumId="13">
    <w:nsid w:val="EC1EA9CA"/>
    <w:multiLevelType w:val="singleLevel"/>
    <w:tmpl w:val="EC1EA9CA"/>
    <w:lvl w:ilvl="0" w:tentative="0">
      <w:start w:val="1"/>
      <w:numFmt w:val="decimal"/>
      <w:lvlText w:val="%1)"/>
      <w:lvlJc w:val="left"/>
      <w:pPr>
        <w:ind w:left="425" w:hanging="425"/>
      </w:pPr>
      <w:rPr>
        <w:rFonts w:hint="default"/>
      </w:rPr>
    </w:lvl>
  </w:abstractNum>
  <w:abstractNum w:abstractNumId="14">
    <w:nsid w:val="ECEBDFEE"/>
    <w:multiLevelType w:val="singleLevel"/>
    <w:tmpl w:val="ECEBDFEE"/>
    <w:lvl w:ilvl="0" w:tentative="0">
      <w:start w:val="1"/>
      <w:numFmt w:val="decimal"/>
      <w:lvlText w:val="%1)"/>
      <w:lvlJc w:val="left"/>
      <w:pPr>
        <w:ind w:left="425" w:hanging="425"/>
      </w:pPr>
      <w:rPr>
        <w:rFonts w:hint="default"/>
      </w:rPr>
    </w:lvl>
  </w:abstractNum>
  <w:abstractNum w:abstractNumId="15">
    <w:nsid w:val="F090FF24"/>
    <w:multiLevelType w:val="singleLevel"/>
    <w:tmpl w:val="F090FF24"/>
    <w:lvl w:ilvl="0" w:tentative="0">
      <w:start w:val="1"/>
      <w:numFmt w:val="decimal"/>
      <w:lvlText w:val="%1)"/>
      <w:lvlJc w:val="left"/>
      <w:pPr>
        <w:ind w:left="425" w:hanging="425"/>
      </w:pPr>
      <w:rPr>
        <w:rFonts w:hint="default"/>
      </w:rPr>
    </w:lvl>
  </w:abstractNum>
  <w:abstractNum w:abstractNumId="16">
    <w:nsid w:val="F15EE766"/>
    <w:multiLevelType w:val="singleLevel"/>
    <w:tmpl w:val="F15EE766"/>
    <w:lvl w:ilvl="0" w:tentative="0">
      <w:start w:val="1"/>
      <w:numFmt w:val="decimal"/>
      <w:lvlText w:val="%1)"/>
      <w:lvlJc w:val="left"/>
      <w:pPr>
        <w:ind w:left="425" w:hanging="425"/>
      </w:pPr>
      <w:rPr>
        <w:rFonts w:hint="default"/>
      </w:rPr>
    </w:lvl>
  </w:abstractNum>
  <w:abstractNum w:abstractNumId="17">
    <w:nsid w:val="F213B504"/>
    <w:multiLevelType w:val="singleLevel"/>
    <w:tmpl w:val="F213B504"/>
    <w:lvl w:ilvl="0" w:tentative="0">
      <w:start w:val="1"/>
      <w:numFmt w:val="decimal"/>
      <w:lvlText w:val="%1)"/>
      <w:lvlJc w:val="left"/>
      <w:pPr>
        <w:ind w:left="425" w:hanging="425"/>
      </w:pPr>
      <w:rPr>
        <w:rFonts w:hint="default"/>
      </w:rPr>
    </w:lvl>
  </w:abstractNum>
  <w:abstractNum w:abstractNumId="18">
    <w:nsid w:val="F3FFCAD1"/>
    <w:multiLevelType w:val="multilevel"/>
    <w:tmpl w:val="F3FFCAD1"/>
    <w:lvl w:ilvl="0" w:tentative="0">
      <w:start w:val="1"/>
      <w:numFmt w:val="bullet"/>
      <w:lvlText w:val=""/>
      <w:lvlJc w:val="left"/>
      <w:pPr>
        <w:ind w:left="900" w:hanging="420"/>
      </w:pPr>
      <w:rPr>
        <w:rFonts w:hint="default" w:ascii="Wingdings" w:hAnsi="Wingdings" w:cs="Wingdings"/>
      </w:rPr>
    </w:lvl>
    <w:lvl w:ilvl="1" w:tentative="0">
      <w:start w:val="1"/>
      <w:numFmt w:val="bullet"/>
      <w:lvlText w:val=""/>
      <w:lvlJc w:val="left"/>
      <w:pPr>
        <w:ind w:left="1320" w:hanging="420"/>
      </w:pPr>
      <w:rPr>
        <w:rFonts w:hint="default" w:ascii="MetaNormalLF-Roman" w:hAnsi="MetaNormalLF-Roman" w:eastAsia="MetaNormalLF-Roman" w:cs="MetaNormalLF-Roman"/>
      </w:rPr>
    </w:lvl>
    <w:lvl w:ilvl="2" w:tentative="0">
      <w:start w:val="1"/>
      <w:numFmt w:val="bullet"/>
      <w:lvlText w:val=""/>
      <w:lvlJc w:val="left"/>
      <w:pPr>
        <w:ind w:left="1740" w:hanging="420"/>
      </w:pPr>
      <w:rPr>
        <w:rFonts w:hint="default" w:ascii="MetaNormalLF-Roman" w:hAnsi="MetaNormalLF-Roman" w:eastAsia="MetaNormalLF-Roman" w:cs="MetaNormalLF-Roman"/>
      </w:rPr>
    </w:lvl>
    <w:lvl w:ilvl="3" w:tentative="0">
      <w:start w:val="1"/>
      <w:numFmt w:val="bullet"/>
      <w:lvlText w:val=""/>
      <w:lvlJc w:val="left"/>
      <w:pPr>
        <w:ind w:left="2160" w:hanging="420"/>
      </w:pPr>
      <w:rPr>
        <w:rFonts w:hint="default" w:ascii="MetaNormalLF-Roman" w:hAnsi="MetaNormalLF-Roman" w:eastAsia="MetaNormalLF-Roman" w:cs="MetaNormalLF-Roman"/>
      </w:rPr>
    </w:lvl>
    <w:lvl w:ilvl="4" w:tentative="0">
      <w:start w:val="1"/>
      <w:numFmt w:val="bullet"/>
      <w:lvlText w:val=""/>
      <w:lvlJc w:val="left"/>
      <w:pPr>
        <w:ind w:left="2580" w:hanging="420"/>
      </w:pPr>
      <w:rPr>
        <w:rFonts w:hint="default" w:ascii="MetaNormalLF-Roman" w:hAnsi="MetaNormalLF-Roman" w:eastAsia="MetaNormalLF-Roman" w:cs="MetaNormalLF-Roman"/>
      </w:rPr>
    </w:lvl>
    <w:lvl w:ilvl="5" w:tentative="0">
      <w:start w:val="1"/>
      <w:numFmt w:val="bullet"/>
      <w:lvlText w:val=""/>
      <w:lvlJc w:val="left"/>
      <w:pPr>
        <w:ind w:left="3000" w:hanging="420"/>
      </w:pPr>
      <w:rPr>
        <w:rFonts w:hint="default" w:ascii="MetaNormalLF-Roman" w:hAnsi="MetaNormalLF-Roman" w:eastAsia="MetaNormalLF-Roman" w:cs="MetaNormalLF-Roman"/>
      </w:rPr>
    </w:lvl>
    <w:lvl w:ilvl="6" w:tentative="0">
      <w:start w:val="1"/>
      <w:numFmt w:val="bullet"/>
      <w:lvlText w:val=""/>
      <w:lvlJc w:val="left"/>
      <w:pPr>
        <w:ind w:left="3420" w:hanging="420"/>
      </w:pPr>
      <w:rPr>
        <w:rFonts w:hint="default" w:ascii="MetaNormalLF-Roman" w:hAnsi="MetaNormalLF-Roman" w:eastAsia="MetaNormalLF-Roman" w:cs="MetaNormalLF-Roman"/>
      </w:rPr>
    </w:lvl>
    <w:lvl w:ilvl="7" w:tentative="0">
      <w:start w:val="1"/>
      <w:numFmt w:val="bullet"/>
      <w:lvlText w:val=""/>
      <w:lvlJc w:val="left"/>
      <w:pPr>
        <w:ind w:left="3840" w:hanging="420"/>
      </w:pPr>
      <w:rPr>
        <w:rFonts w:hint="default" w:ascii="MetaNormalLF-Roman" w:hAnsi="MetaNormalLF-Roman" w:eastAsia="MetaNormalLF-Roman" w:cs="MetaNormalLF-Roman"/>
      </w:rPr>
    </w:lvl>
    <w:lvl w:ilvl="8" w:tentative="0">
      <w:start w:val="1"/>
      <w:numFmt w:val="bullet"/>
      <w:lvlText w:val=""/>
      <w:lvlJc w:val="left"/>
      <w:pPr>
        <w:ind w:left="4260" w:hanging="420"/>
      </w:pPr>
      <w:rPr>
        <w:rFonts w:hint="default" w:ascii="MetaNormalLF-Roman" w:hAnsi="MetaNormalLF-Roman" w:eastAsia="MetaNormalLF-Roman" w:cs="MetaNormalLF-Roman"/>
      </w:rPr>
    </w:lvl>
  </w:abstractNum>
  <w:abstractNum w:abstractNumId="19">
    <w:nsid w:val="F61A1703"/>
    <w:multiLevelType w:val="singleLevel"/>
    <w:tmpl w:val="F61A1703"/>
    <w:lvl w:ilvl="0" w:tentative="0">
      <w:start w:val="1"/>
      <w:numFmt w:val="decimal"/>
      <w:suff w:val="nothing"/>
      <w:lvlText w:val="（%1）"/>
      <w:lvlJc w:val="left"/>
      <w:pPr>
        <w:ind w:left="0" w:firstLine="397"/>
      </w:pPr>
    </w:lvl>
  </w:abstractNum>
  <w:abstractNum w:abstractNumId="20">
    <w:nsid w:val="FCFE9A40"/>
    <w:multiLevelType w:val="multilevel"/>
    <w:tmpl w:val="FCFE9A40"/>
    <w:lvl w:ilvl="0" w:tentative="0">
      <w:start w:val="1"/>
      <w:numFmt w:val="bullet"/>
      <w:lvlText w:val=""/>
      <w:lvlJc w:val="left"/>
      <w:pPr>
        <w:ind w:left="900" w:hanging="420"/>
      </w:pPr>
      <w:rPr>
        <w:rFonts w:hint="default" w:ascii="Wingdings" w:hAnsi="Wingdings" w:cs="Wingdings"/>
      </w:rPr>
    </w:lvl>
    <w:lvl w:ilvl="1" w:tentative="0">
      <w:start w:val="1"/>
      <w:numFmt w:val="bullet"/>
      <w:lvlText w:val=""/>
      <w:lvlJc w:val="left"/>
      <w:pPr>
        <w:ind w:left="1320" w:hanging="420"/>
      </w:pPr>
      <w:rPr>
        <w:rFonts w:hint="default" w:ascii="MetaNormalLF-Roman" w:hAnsi="MetaNormalLF-Roman" w:eastAsia="MetaNormalLF-Roman" w:cs="MetaNormalLF-Roman"/>
      </w:rPr>
    </w:lvl>
    <w:lvl w:ilvl="2" w:tentative="0">
      <w:start w:val="1"/>
      <w:numFmt w:val="bullet"/>
      <w:lvlText w:val=""/>
      <w:lvlJc w:val="left"/>
      <w:pPr>
        <w:ind w:left="1740" w:hanging="420"/>
      </w:pPr>
      <w:rPr>
        <w:rFonts w:hint="default" w:ascii="MetaNormalLF-Roman" w:hAnsi="MetaNormalLF-Roman" w:eastAsia="MetaNormalLF-Roman" w:cs="MetaNormalLF-Roman"/>
      </w:rPr>
    </w:lvl>
    <w:lvl w:ilvl="3" w:tentative="0">
      <w:start w:val="1"/>
      <w:numFmt w:val="bullet"/>
      <w:lvlText w:val=""/>
      <w:lvlJc w:val="left"/>
      <w:pPr>
        <w:ind w:left="2160" w:hanging="420"/>
      </w:pPr>
      <w:rPr>
        <w:rFonts w:hint="default" w:ascii="MetaNormalLF-Roman" w:hAnsi="MetaNormalLF-Roman" w:eastAsia="MetaNormalLF-Roman" w:cs="MetaNormalLF-Roman"/>
      </w:rPr>
    </w:lvl>
    <w:lvl w:ilvl="4" w:tentative="0">
      <w:start w:val="1"/>
      <w:numFmt w:val="bullet"/>
      <w:lvlText w:val=""/>
      <w:lvlJc w:val="left"/>
      <w:pPr>
        <w:ind w:left="2580" w:hanging="420"/>
      </w:pPr>
      <w:rPr>
        <w:rFonts w:hint="default" w:ascii="MetaNormalLF-Roman" w:hAnsi="MetaNormalLF-Roman" w:eastAsia="MetaNormalLF-Roman" w:cs="MetaNormalLF-Roman"/>
      </w:rPr>
    </w:lvl>
    <w:lvl w:ilvl="5" w:tentative="0">
      <w:start w:val="1"/>
      <w:numFmt w:val="bullet"/>
      <w:lvlText w:val=""/>
      <w:lvlJc w:val="left"/>
      <w:pPr>
        <w:ind w:left="3000" w:hanging="420"/>
      </w:pPr>
      <w:rPr>
        <w:rFonts w:hint="default" w:ascii="MetaNormalLF-Roman" w:hAnsi="MetaNormalLF-Roman" w:eastAsia="MetaNormalLF-Roman" w:cs="MetaNormalLF-Roman"/>
      </w:rPr>
    </w:lvl>
    <w:lvl w:ilvl="6" w:tentative="0">
      <w:start w:val="1"/>
      <w:numFmt w:val="bullet"/>
      <w:lvlText w:val=""/>
      <w:lvlJc w:val="left"/>
      <w:pPr>
        <w:ind w:left="3420" w:hanging="420"/>
      </w:pPr>
      <w:rPr>
        <w:rFonts w:hint="default" w:ascii="MetaNormalLF-Roman" w:hAnsi="MetaNormalLF-Roman" w:eastAsia="MetaNormalLF-Roman" w:cs="MetaNormalLF-Roman"/>
      </w:rPr>
    </w:lvl>
    <w:lvl w:ilvl="7" w:tentative="0">
      <w:start w:val="1"/>
      <w:numFmt w:val="bullet"/>
      <w:lvlText w:val=""/>
      <w:lvlJc w:val="left"/>
      <w:pPr>
        <w:ind w:left="3840" w:hanging="420"/>
      </w:pPr>
      <w:rPr>
        <w:rFonts w:hint="default" w:ascii="MetaNormalLF-Roman" w:hAnsi="MetaNormalLF-Roman" w:eastAsia="MetaNormalLF-Roman" w:cs="MetaNormalLF-Roman"/>
      </w:rPr>
    </w:lvl>
    <w:lvl w:ilvl="8" w:tentative="0">
      <w:start w:val="1"/>
      <w:numFmt w:val="bullet"/>
      <w:lvlText w:val=""/>
      <w:lvlJc w:val="left"/>
      <w:pPr>
        <w:ind w:left="4260" w:hanging="420"/>
      </w:pPr>
      <w:rPr>
        <w:rFonts w:hint="default" w:ascii="MetaNormalLF-Roman" w:hAnsi="MetaNormalLF-Roman" w:eastAsia="MetaNormalLF-Roman" w:cs="MetaNormalLF-Roman"/>
      </w:rPr>
    </w:lvl>
  </w:abstractNum>
  <w:abstractNum w:abstractNumId="21">
    <w:nsid w:val="FF7E69FD"/>
    <w:multiLevelType w:val="multilevel"/>
    <w:tmpl w:val="FF7E69FD"/>
    <w:lvl w:ilvl="0" w:tentative="0">
      <w:start w:val="1"/>
      <w:numFmt w:val="bullet"/>
      <w:lvlText w:val=""/>
      <w:lvlJc w:val="left"/>
      <w:pPr>
        <w:ind w:left="900" w:hanging="420"/>
      </w:pPr>
      <w:rPr>
        <w:rFonts w:hint="default" w:ascii="Wingdings" w:hAnsi="Wingdings" w:cs="Wingdings"/>
      </w:rPr>
    </w:lvl>
    <w:lvl w:ilvl="1" w:tentative="0">
      <w:start w:val="1"/>
      <w:numFmt w:val="bullet"/>
      <w:lvlText w:val=""/>
      <w:lvlJc w:val="left"/>
      <w:pPr>
        <w:ind w:left="1320" w:hanging="420"/>
      </w:pPr>
      <w:rPr>
        <w:rFonts w:hint="default" w:ascii="MetaNormalLF-Roman" w:hAnsi="MetaNormalLF-Roman" w:eastAsia="MetaNormalLF-Roman" w:cs="MetaNormalLF-Roman"/>
      </w:rPr>
    </w:lvl>
    <w:lvl w:ilvl="2" w:tentative="0">
      <w:start w:val="1"/>
      <w:numFmt w:val="bullet"/>
      <w:lvlText w:val=""/>
      <w:lvlJc w:val="left"/>
      <w:pPr>
        <w:ind w:left="1740" w:hanging="420"/>
      </w:pPr>
      <w:rPr>
        <w:rFonts w:hint="default" w:ascii="MetaNormalLF-Roman" w:hAnsi="MetaNormalLF-Roman" w:eastAsia="MetaNormalLF-Roman" w:cs="MetaNormalLF-Roman"/>
      </w:rPr>
    </w:lvl>
    <w:lvl w:ilvl="3" w:tentative="0">
      <w:start w:val="1"/>
      <w:numFmt w:val="bullet"/>
      <w:lvlText w:val=""/>
      <w:lvlJc w:val="left"/>
      <w:pPr>
        <w:ind w:left="2160" w:hanging="420"/>
      </w:pPr>
      <w:rPr>
        <w:rFonts w:hint="default" w:ascii="MetaNormalLF-Roman" w:hAnsi="MetaNormalLF-Roman" w:eastAsia="MetaNormalLF-Roman" w:cs="MetaNormalLF-Roman"/>
      </w:rPr>
    </w:lvl>
    <w:lvl w:ilvl="4" w:tentative="0">
      <w:start w:val="1"/>
      <w:numFmt w:val="bullet"/>
      <w:lvlText w:val=""/>
      <w:lvlJc w:val="left"/>
      <w:pPr>
        <w:ind w:left="2580" w:hanging="420"/>
      </w:pPr>
      <w:rPr>
        <w:rFonts w:hint="default" w:ascii="MetaNormalLF-Roman" w:hAnsi="MetaNormalLF-Roman" w:eastAsia="MetaNormalLF-Roman" w:cs="MetaNormalLF-Roman"/>
      </w:rPr>
    </w:lvl>
    <w:lvl w:ilvl="5" w:tentative="0">
      <w:start w:val="1"/>
      <w:numFmt w:val="bullet"/>
      <w:lvlText w:val=""/>
      <w:lvlJc w:val="left"/>
      <w:pPr>
        <w:ind w:left="3000" w:hanging="420"/>
      </w:pPr>
      <w:rPr>
        <w:rFonts w:hint="default" w:ascii="MetaNormalLF-Roman" w:hAnsi="MetaNormalLF-Roman" w:eastAsia="MetaNormalLF-Roman" w:cs="MetaNormalLF-Roman"/>
      </w:rPr>
    </w:lvl>
    <w:lvl w:ilvl="6" w:tentative="0">
      <w:start w:val="1"/>
      <w:numFmt w:val="bullet"/>
      <w:lvlText w:val=""/>
      <w:lvlJc w:val="left"/>
      <w:pPr>
        <w:ind w:left="3420" w:hanging="420"/>
      </w:pPr>
      <w:rPr>
        <w:rFonts w:hint="default" w:ascii="MetaNormalLF-Roman" w:hAnsi="MetaNormalLF-Roman" w:eastAsia="MetaNormalLF-Roman" w:cs="MetaNormalLF-Roman"/>
      </w:rPr>
    </w:lvl>
    <w:lvl w:ilvl="7" w:tentative="0">
      <w:start w:val="1"/>
      <w:numFmt w:val="bullet"/>
      <w:lvlText w:val=""/>
      <w:lvlJc w:val="left"/>
      <w:pPr>
        <w:ind w:left="3840" w:hanging="420"/>
      </w:pPr>
      <w:rPr>
        <w:rFonts w:hint="default" w:ascii="MetaNormalLF-Roman" w:hAnsi="MetaNormalLF-Roman" w:eastAsia="MetaNormalLF-Roman" w:cs="MetaNormalLF-Roman"/>
      </w:rPr>
    </w:lvl>
    <w:lvl w:ilvl="8" w:tentative="0">
      <w:start w:val="1"/>
      <w:numFmt w:val="bullet"/>
      <w:lvlText w:val=""/>
      <w:lvlJc w:val="left"/>
      <w:pPr>
        <w:ind w:left="4260" w:hanging="420"/>
      </w:pPr>
      <w:rPr>
        <w:rFonts w:hint="default" w:ascii="MetaNormalLF-Roman" w:hAnsi="MetaNormalLF-Roman" w:eastAsia="MetaNormalLF-Roman" w:cs="MetaNormalLF-Roman"/>
      </w:rPr>
    </w:lvl>
  </w:abstractNum>
  <w:abstractNum w:abstractNumId="22">
    <w:nsid w:val="FFAE0C15"/>
    <w:multiLevelType w:val="multilevel"/>
    <w:tmpl w:val="FFAE0C15"/>
    <w:lvl w:ilvl="0" w:tentative="0">
      <w:start w:val="1"/>
      <w:numFmt w:val="bullet"/>
      <w:lvlText w:val=""/>
      <w:lvlJc w:val="left"/>
      <w:pPr>
        <w:ind w:left="900" w:hanging="420"/>
      </w:pPr>
      <w:rPr>
        <w:rFonts w:hint="default" w:ascii="Wingdings" w:hAnsi="Wingdings" w:cs="Wingdings"/>
      </w:rPr>
    </w:lvl>
    <w:lvl w:ilvl="1" w:tentative="0">
      <w:start w:val="1"/>
      <w:numFmt w:val="bullet"/>
      <w:lvlText w:val=""/>
      <w:lvlJc w:val="left"/>
      <w:pPr>
        <w:ind w:left="1320" w:hanging="420"/>
      </w:pPr>
      <w:rPr>
        <w:rFonts w:hint="default" w:ascii="MetaNormalLF-Roman" w:hAnsi="MetaNormalLF-Roman" w:eastAsia="MetaNormalLF-Roman" w:cs="MetaNormalLF-Roman"/>
      </w:rPr>
    </w:lvl>
    <w:lvl w:ilvl="2" w:tentative="0">
      <w:start w:val="1"/>
      <w:numFmt w:val="bullet"/>
      <w:lvlText w:val=""/>
      <w:lvlJc w:val="left"/>
      <w:pPr>
        <w:ind w:left="1740" w:hanging="420"/>
      </w:pPr>
      <w:rPr>
        <w:rFonts w:hint="default" w:ascii="MetaNormalLF-Roman" w:hAnsi="MetaNormalLF-Roman" w:eastAsia="MetaNormalLF-Roman" w:cs="MetaNormalLF-Roman"/>
      </w:rPr>
    </w:lvl>
    <w:lvl w:ilvl="3" w:tentative="0">
      <w:start w:val="1"/>
      <w:numFmt w:val="bullet"/>
      <w:lvlText w:val=""/>
      <w:lvlJc w:val="left"/>
      <w:pPr>
        <w:ind w:left="2160" w:hanging="420"/>
      </w:pPr>
      <w:rPr>
        <w:rFonts w:hint="default" w:ascii="MetaNormalLF-Roman" w:hAnsi="MetaNormalLF-Roman" w:eastAsia="MetaNormalLF-Roman" w:cs="MetaNormalLF-Roman"/>
      </w:rPr>
    </w:lvl>
    <w:lvl w:ilvl="4" w:tentative="0">
      <w:start w:val="1"/>
      <w:numFmt w:val="bullet"/>
      <w:lvlText w:val=""/>
      <w:lvlJc w:val="left"/>
      <w:pPr>
        <w:ind w:left="2580" w:hanging="420"/>
      </w:pPr>
      <w:rPr>
        <w:rFonts w:hint="default" w:ascii="MetaNormalLF-Roman" w:hAnsi="MetaNormalLF-Roman" w:eastAsia="MetaNormalLF-Roman" w:cs="MetaNormalLF-Roman"/>
      </w:rPr>
    </w:lvl>
    <w:lvl w:ilvl="5" w:tentative="0">
      <w:start w:val="1"/>
      <w:numFmt w:val="bullet"/>
      <w:lvlText w:val=""/>
      <w:lvlJc w:val="left"/>
      <w:pPr>
        <w:ind w:left="3000" w:hanging="420"/>
      </w:pPr>
      <w:rPr>
        <w:rFonts w:hint="default" w:ascii="MetaNormalLF-Roman" w:hAnsi="MetaNormalLF-Roman" w:eastAsia="MetaNormalLF-Roman" w:cs="MetaNormalLF-Roman"/>
      </w:rPr>
    </w:lvl>
    <w:lvl w:ilvl="6" w:tentative="0">
      <w:start w:val="1"/>
      <w:numFmt w:val="bullet"/>
      <w:lvlText w:val=""/>
      <w:lvlJc w:val="left"/>
      <w:pPr>
        <w:ind w:left="3420" w:hanging="420"/>
      </w:pPr>
      <w:rPr>
        <w:rFonts w:hint="default" w:ascii="MetaNormalLF-Roman" w:hAnsi="MetaNormalLF-Roman" w:eastAsia="MetaNormalLF-Roman" w:cs="MetaNormalLF-Roman"/>
      </w:rPr>
    </w:lvl>
    <w:lvl w:ilvl="7" w:tentative="0">
      <w:start w:val="1"/>
      <w:numFmt w:val="bullet"/>
      <w:lvlText w:val=""/>
      <w:lvlJc w:val="left"/>
      <w:pPr>
        <w:ind w:left="3840" w:hanging="420"/>
      </w:pPr>
      <w:rPr>
        <w:rFonts w:hint="default" w:ascii="MetaNormalLF-Roman" w:hAnsi="MetaNormalLF-Roman" w:eastAsia="MetaNormalLF-Roman" w:cs="MetaNormalLF-Roman"/>
      </w:rPr>
    </w:lvl>
    <w:lvl w:ilvl="8" w:tentative="0">
      <w:start w:val="1"/>
      <w:numFmt w:val="bullet"/>
      <w:lvlText w:val=""/>
      <w:lvlJc w:val="left"/>
      <w:pPr>
        <w:ind w:left="4260" w:hanging="420"/>
      </w:pPr>
      <w:rPr>
        <w:rFonts w:hint="default" w:ascii="MetaNormalLF-Roman" w:hAnsi="MetaNormalLF-Roman" w:eastAsia="MetaNormalLF-Roman" w:cs="MetaNormalLF-Roman"/>
      </w:rPr>
    </w:lvl>
  </w:abstractNum>
  <w:abstractNum w:abstractNumId="23">
    <w:nsid w:val="01FFDE2D"/>
    <w:multiLevelType w:val="singleLevel"/>
    <w:tmpl w:val="01FFDE2D"/>
    <w:lvl w:ilvl="0" w:tentative="0">
      <w:start w:val="1"/>
      <w:numFmt w:val="decimal"/>
      <w:lvlText w:val="%1)"/>
      <w:lvlJc w:val="left"/>
      <w:pPr>
        <w:ind w:left="425" w:hanging="425"/>
      </w:pPr>
      <w:rPr>
        <w:rFonts w:hint="default"/>
      </w:rPr>
    </w:lvl>
  </w:abstractNum>
  <w:abstractNum w:abstractNumId="24">
    <w:nsid w:val="0274995B"/>
    <w:multiLevelType w:val="singleLevel"/>
    <w:tmpl w:val="0274995B"/>
    <w:lvl w:ilvl="0" w:tentative="0">
      <w:start w:val="1"/>
      <w:numFmt w:val="decimal"/>
      <w:lvlText w:val="%1)"/>
      <w:lvlJc w:val="left"/>
      <w:pPr>
        <w:ind w:left="425" w:hanging="425"/>
      </w:pPr>
      <w:rPr>
        <w:rFonts w:hint="default"/>
      </w:rPr>
    </w:lvl>
  </w:abstractNum>
  <w:abstractNum w:abstractNumId="25">
    <w:nsid w:val="17D212E9"/>
    <w:multiLevelType w:val="multilevel"/>
    <w:tmpl w:val="17D212E9"/>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1D6202DE"/>
    <w:multiLevelType w:val="multilevel"/>
    <w:tmpl w:val="1D6202DE"/>
    <w:lvl w:ilvl="0" w:tentative="0">
      <w:start w:val="1"/>
      <w:numFmt w:val="decimal"/>
      <w:pStyle w:val="30"/>
      <w:lvlText w:val="表7-%1"/>
      <w:lvlJc w:val="left"/>
      <w:pPr>
        <w:ind w:left="780" w:hanging="360"/>
      </w:pPr>
      <w:rPr>
        <w:rFonts w:hint="default" w:ascii="宋体" w:hAnsi="宋体" w:eastAsia="宋体" w:cs="宋体"/>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2015DE46"/>
    <w:multiLevelType w:val="singleLevel"/>
    <w:tmpl w:val="2015DE46"/>
    <w:lvl w:ilvl="0" w:tentative="0">
      <w:start w:val="1"/>
      <w:numFmt w:val="decimal"/>
      <w:lvlText w:val="%1)"/>
      <w:lvlJc w:val="left"/>
      <w:pPr>
        <w:ind w:left="425" w:hanging="425"/>
      </w:pPr>
      <w:rPr>
        <w:rFonts w:hint="default"/>
      </w:rPr>
    </w:lvl>
  </w:abstractNum>
  <w:abstractNum w:abstractNumId="28">
    <w:nsid w:val="20661325"/>
    <w:multiLevelType w:val="multilevel"/>
    <w:tmpl w:val="20661325"/>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2D62CF7"/>
    <w:multiLevelType w:val="singleLevel"/>
    <w:tmpl w:val="22D62CF7"/>
    <w:lvl w:ilvl="0" w:tentative="0">
      <w:start w:val="1"/>
      <w:numFmt w:val="decimal"/>
      <w:suff w:val="nothing"/>
      <w:lvlText w:val="%1）"/>
      <w:lvlJc w:val="left"/>
    </w:lvl>
  </w:abstractNum>
  <w:abstractNum w:abstractNumId="30">
    <w:nsid w:val="23901ED9"/>
    <w:multiLevelType w:val="singleLevel"/>
    <w:tmpl w:val="23901ED9"/>
    <w:lvl w:ilvl="0" w:tentative="0">
      <w:start w:val="1"/>
      <w:numFmt w:val="decimal"/>
      <w:lvlText w:val="%1)"/>
      <w:lvlJc w:val="left"/>
      <w:pPr>
        <w:ind w:left="425" w:hanging="425"/>
      </w:pPr>
      <w:rPr>
        <w:rFonts w:hint="default"/>
      </w:rPr>
    </w:lvl>
  </w:abstractNum>
  <w:abstractNum w:abstractNumId="31">
    <w:nsid w:val="2A77E1F5"/>
    <w:multiLevelType w:val="singleLevel"/>
    <w:tmpl w:val="2A77E1F5"/>
    <w:lvl w:ilvl="0" w:tentative="0">
      <w:start w:val="3"/>
      <w:numFmt w:val="decimal"/>
      <w:suff w:val="nothing"/>
      <w:lvlText w:val="%1）"/>
      <w:lvlJc w:val="left"/>
    </w:lvl>
  </w:abstractNum>
  <w:abstractNum w:abstractNumId="32">
    <w:nsid w:val="2BE1EB9F"/>
    <w:multiLevelType w:val="singleLevel"/>
    <w:tmpl w:val="2BE1EB9F"/>
    <w:lvl w:ilvl="0" w:tentative="0">
      <w:start w:val="1"/>
      <w:numFmt w:val="decimal"/>
      <w:lvlText w:val="%1)"/>
      <w:lvlJc w:val="left"/>
      <w:pPr>
        <w:ind w:left="425" w:hanging="425"/>
      </w:pPr>
      <w:rPr>
        <w:rFonts w:hint="default"/>
      </w:rPr>
    </w:lvl>
  </w:abstractNum>
  <w:abstractNum w:abstractNumId="33">
    <w:nsid w:val="425D386B"/>
    <w:multiLevelType w:val="multilevel"/>
    <w:tmpl w:val="425D386B"/>
    <w:lvl w:ilvl="0" w:tentative="0">
      <w:start w:val="1"/>
      <w:numFmt w:val="decimal"/>
      <w:pStyle w:val="15"/>
      <w:isLgl/>
      <w:lvlText w:val="图1-%1 "/>
      <w:lvlJc w:val="center"/>
      <w:pPr>
        <w:ind w:left="782" w:hanging="362"/>
      </w:pPr>
      <w:rPr>
        <w:rFonts w:hint="default" w:ascii="宋体" w:hAnsi="宋体" w:eastAsia="宋体" w:cs="宋体"/>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45EF1DF9"/>
    <w:multiLevelType w:val="multilevel"/>
    <w:tmpl w:val="45EF1DF9"/>
    <w:lvl w:ilvl="0" w:tentative="0">
      <w:start w:val="1"/>
      <w:numFmt w:val="decimal"/>
      <w:suff w:val="space"/>
      <w:lvlText w:val="第%1章"/>
      <w:lvlJc w:val="left"/>
      <w:pPr>
        <w:ind w:left="0" w:firstLine="0"/>
      </w:pPr>
      <w:rPr>
        <w:rFonts w:hint="default" w:ascii="Times New Roman" w:hAnsi="Times New Roman" w:eastAsia="黑体"/>
        <w:b/>
        <w:i w:val="0"/>
        <w:sz w:val="44"/>
      </w:rPr>
    </w:lvl>
    <w:lvl w:ilvl="1" w:tentative="0">
      <w:start w:val="1"/>
      <w:numFmt w:val="decimal"/>
      <w:pStyle w:val="2"/>
      <w:suff w:val="space"/>
      <w:lvlText w:val="%1.%2"/>
      <w:lvlJc w:val="left"/>
      <w:pPr>
        <w:ind w:left="0" w:firstLine="0"/>
      </w:pPr>
      <w:rPr>
        <w:rFonts w:hint="default" w:ascii="Times New Roman" w:hAnsi="Times New Roman" w:eastAsia="黑体"/>
        <w:b/>
        <w:i w:val="0"/>
      </w:rPr>
    </w:lvl>
    <w:lvl w:ilvl="2" w:tentative="0">
      <w:start w:val="1"/>
      <w:numFmt w:val="decimal"/>
      <w:pStyle w:val="4"/>
      <w:suff w:val="space"/>
      <w:lvlText w:val="%1.%2.%3"/>
      <w:lvlJc w:val="left"/>
      <w:pPr>
        <w:ind w:left="0" w:firstLine="0"/>
      </w:pPr>
      <w:rPr>
        <w:rFonts w:hint="default" w:ascii="Times New Roman" w:hAnsi="Times New Roman" w:eastAsia="宋体"/>
        <w:b/>
        <w:i w:val="0"/>
      </w:rPr>
    </w:lvl>
    <w:lvl w:ilvl="3" w:tentative="0">
      <w:start w:val="1"/>
      <w:numFmt w:val="decimal"/>
      <w:pStyle w:val="5"/>
      <w:suff w:val="space"/>
      <w:lvlText w:val="%1.%2.%3.%4"/>
      <w:lvlJc w:val="left"/>
      <w:pPr>
        <w:ind w:left="0" w:firstLine="0"/>
      </w:pPr>
      <w:rPr>
        <w:rFonts w:hint="default" w:ascii="Times New Roman" w:hAnsi="Times New Roman" w:eastAsia="宋体"/>
        <w:b/>
        <w:bCs w:val="0"/>
        <w:i w:val="0"/>
        <w:iCs w:val="0"/>
        <w: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4" w:tentative="0">
      <w:start w:val="1"/>
      <w:numFmt w:val="decimal"/>
      <w:pStyle w:val="7"/>
      <w:suff w:val="space"/>
      <w:lvlText w:val="%1.%2.%3.%4.%5"/>
      <w:lvlJc w:val="left"/>
      <w:pPr>
        <w:ind w:left="0" w:firstLine="0"/>
      </w:pPr>
      <w:rPr>
        <w:rFonts w:hint="default" w:ascii="Times New Roman" w:hAnsi="Times New Roman" w:eastAsia="宋体"/>
        <w:b/>
        <w:bCs w:val="0"/>
        <w:i w:val="0"/>
        <w:iCs w:val="0"/>
        <w: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5" w:tentative="0">
      <w:start w:val="1"/>
      <w:numFmt w:val="decimal"/>
      <w:pStyle w:val="8"/>
      <w:suff w:val="space"/>
      <w:lvlText w:val="%1.%2.%3.%4.%5.%6"/>
      <w:lvlJc w:val="left"/>
      <w:pPr>
        <w:ind w:left="0" w:firstLine="0"/>
      </w:pPr>
      <w:rPr>
        <w:rFonts w:hint="default" w:ascii="Times New Roman" w:hAnsi="Times New Roman" w:eastAsia="宋体"/>
        <w:b/>
        <w:bCs w:val="0"/>
        <w:i w:val="0"/>
        <w:iCs w:val="0"/>
        <w: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6" w:tentative="0">
      <w:start w:val="1"/>
      <w:numFmt w:val="decimal"/>
      <w:pStyle w:val="9"/>
      <w:suff w:val="space"/>
      <w:lvlText w:val="%1.%2.%3.%4.%5.%6.%7"/>
      <w:lvlJc w:val="left"/>
      <w:pPr>
        <w:ind w:left="0" w:firstLine="0"/>
      </w:pPr>
      <w:rPr>
        <w:rFonts w:hint="default" w:ascii="Times New Roman" w:hAnsi="Times New Roman" w:eastAsia="宋体"/>
        <w:b/>
        <w:i w:val="0"/>
      </w:rPr>
    </w:lvl>
    <w:lvl w:ilvl="7" w:tentative="0">
      <w:start w:val="1"/>
      <w:numFmt w:val="decimal"/>
      <w:pStyle w:val="10"/>
      <w:suff w:val="space"/>
      <w:lvlText w:val="%1.%2.%3.%4.%5.%6.%7.%8"/>
      <w:lvlJc w:val="left"/>
      <w:pPr>
        <w:ind w:left="0" w:firstLine="0"/>
      </w:pPr>
      <w:rPr>
        <w:rFonts w:hint="default" w:ascii="Times New Roman" w:hAnsi="Times New Roman" w:eastAsia="宋体"/>
        <w:b/>
        <w:i w:val="0"/>
      </w:rPr>
    </w:lvl>
    <w:lvl w:ilvl="8" w:tentative="0">
      <w:start w:val="1"/>
      <w:numFmt w:val="decimal"/>
      <w:pStyle w:val="11"/>
      <w:suff w:val="space"/>
      <w:lvlText w:val="%1.%2.%3.%4.%5.%6.%7.%8.%9"/>
      <w:lvlJc w:val="left"/>
      <w:pPr>
        <w:ind w:left="0" w:firstLine="0"/>
      </w:pPr>
      <w:rPr>
        <w:rFonts w:hint="default" w:ascii="Times New Roman" w:hAnsi="Times New Roman" w:eastAsia="宋体" w:cs="宋体"/>
        <w:b/>
        <w:i w:val="0"/>
      </w:rPr>
    </w:lvl>
  </w:abstractNum>
  <w:abstractNum w:abstractNumId="35">
    <w:nsid w:val="56DBC304"/>
    <w:multiLevelType w:val="singleLevel"/>
    <w:tmpl w:val="56DBC304"/>
    <w:lvl w:ilvl="0" w:tentative="0">
      <w:start w:val="1"/>
      <w:numFmt w:val="decimal"/>
      <w:lvlText w:val="%1)"/>
      <w:lvlJc w:val="left"/>
      <w:pPr>
        <w:ind w:left="425" w:hanging="425"/>
      </w:pPr>
      <w:rPr>
        <w:rFonts w:hint="default"/>
      </w:rPr>
    </w:lvl>
  </w:abstractNum>
  <w:abstractNum w:abstractNumId="36">
    <w:nsid w:val="594CAFA3"/>
    <w:multiLevelType w:val="singleLevel"/>
    <w:tmpl w:val="594CAFA3"/>
    <w:lvl w:ilvl="0" w:tentative="0">
      <w:start w:val="1"/>
      <w:numFmt w:val="decimal"/>
      <w:suff w:val="space"/>
      <w:lvlText w:val="%1."/>
      <w:lvlJc w:val="left"/>
    </w:lvl>
  </w:abstractNum>
  <w:abstractNum w:abstractNumId="37">
    <w:nsid w:val="602EAC11"/>
    <w:multiLevelType w:val="singleLevel"/>
    <w:tmpl w:val="602EAC11"/>
    <w:lvl w:ilvl="0" w:tentative="0">
      <w:start w:val="1"/>
      <w:numFmt w:val="decimal"/>
      <w:suff w:val="space"/>
      <w:lvlText w:val="%1)"/>
      <w:lvlJc w:val="left"/>
      <w:pPr>
        <w:ind w:left="0" w:leftChars="0" w:firstLine="567" w:firstLineChars="0"/>
      </w:pPr>
      <w:rPr>
        <w:rFonts w:hint="default"/>
      </w:rPr>
    </w:lvl>
  </w:abstractNum>
  <w:abstractNum w:abstractNumId="38">
    <w:nsid w:val="642007D4"/>
    <w:multiLevelType w:val="singleLevel"/>
    <w:tmpl w:val="642007D4"/>
    <w:lvl w:ilvl="0" w:tentative="0">
      <w:start w:val="1"/>
      <w:numFmt w:val="decimal"/>
      <w:lvlText w:val="%1)"/>
      <w:lvlJc w:val="left"/>
      <w:pPr>
        <w:ind w:left="425" w:hanging="425"/>
      </w:pPr>
      <w:rPr>
        <w:rFonts w:hint="default"/>
      </w:rPr>
    </w:lvl>
  </w:abstractNum>
  <w:abstractNum w:abstractNumId="39">
    <w:nsid w:val="677AF38D"/>
    <w:multiLevelType w:val="singleLevel"/>
    <w:tmpl w:val="677AF38D"/>
    <w:lvl w:ilvl="0" w:tentative="0">
      <w:start w:val="1"/>
      <w:numFmt w:val="decimal"/>
      <w:lvlText w:val="%1)"/>
      <w:lvlJc w:val="left"/>
      <w:pPr>
        <w:ind w:left="425" w:hanging="425"/>
      </w:pPr>
      <w:rPr>
        <w:rFonts w:hint="default"/>
      </w:rPr>
    </w:lvl>
  </w:abstractNum>
  <w:abstractNum w:abstractNumId="40">
    <w:nsid w:val="716A5595"/>
    <w:multiLevelType w:val="singleLevel"/>
    <w:tmpl w:val="716A5595"/>
    <w:lvl w:ilvl="0" w:tentative="0">
      <w:start w:val="1"/>
      <w:numFmt w:val="decimal"/>
      <w:lvlText w:val="%1)"/>
      <w:lvlJc w:val="left"/>
      <w:pPr>
        <w:ind w:left="425" w:hanging="425"/>
      </w:pPr>
      <w:rPr>
        <w:rFonts w:hint="default"/>
      </w:rPr>
    </w:lvl>
  </w:abstractNum>
  <w:abstractNum w:abstractNumId="41">
    <w:nsid w:val="71982BF1"/>
    <w:multiLevelType w:val="singleLevel"/>
    <w:tmpl w:val="71982BF1"/>
    <w:lvl w:ilvl="0" w:tentative="0">
      <w:start w:val="1"/>
      <w:numFmt w:val="decimal"/>
      <w:lvlText w:val="%1)"/>
      <w:lvlJc w:val="left"/>
      <w:pPr>
        <w:ind w:left="425" w:hanging="425"/>
      </w:pPr>
      <w:rPr>
        <w:rFonts w:hint="default"/>
      </w:rPr>
    </w:lvl>
  </w:abstractNum>
  <w:abstractNum w:abstractNumId="42">
    <w:nsid w:val="77315237"/>
    <w:multiLevelType w:val="multilevel"/>
    <w:tmpl w:val="77315237"/>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43">
    <w:nsid w:val="7B3D533E"/>
    <w:multiLevelType w:val="singleLevel"/>
    <w:tmpl w:val="7B3D533E"/>
    <w:lvl w:ilvl="0" w:tentative="0">
      <w:start w:val="1"/>
      <w:numFmt w:val="decimal"/>
      <w:lvlText w:val="%1)"/>
      <w:lvlJc w:val="left"/>
      <w:pPr>
        <w:ind w:left="425" w:hanging="425"/>
      </w:pPr>
      <w:rPr>
        <w:rFonts w:hint="default"/>
      </w:rPr>
    </w:lvl>
  </w:abstractNum>
  <w:abstractNum w:abstractNumId="44">
    <w:nsid w:val="7D1E32EA"/>
    <w:multiLevelType w:val="multilevel"/>
    <w:tmpl w:val="7D1E32EA"/>
    <w:lvl w:ilvl="0" w:tentative="0">
      <w:start w:val="1"/>
      <w:numFmt w:val="bullet"/>
      <w:pStyle w:val="2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5">
    <w:nsid w:val="7DDF7D39"/>
    <w:multiLevelType w:val="singleLevel"/>
    <w:tmpl w:val="7DDF7D39"/>
    <w:lvl w:ilvl="0" w:tentative="0">
      <w:start w:val="1"/>
      <w:numFmt w:val="decimal"/>
      <w:lvlText w:val="%1)"/>
      <w:lvlJc w:val="left"/>
      <w:pPr>
        <w:ind w:left="425" w:hanging="425"/>
      </w:pPr>
      <w:rPr>
        <w:rFonts w:hint="default"/>
      </w:rPr>
    </w:lvl>
  </w:abstractNum>
  <w:abstractNum w:abstractNumId="46">
    <w:nsid w:val="7F7B264E"/>
    <w:multiLevelType w:val="multilevel"/>
    <w:tmpl w:val="7F7B264E"/>
    <w:lvl w:ilvl="0" w:tentative="0">
      <w:start w:val="1"/>
      <w:numFmt w:val="bullet"/>
      <w:lvlText w:val=""/>
      <w:lvlJc w:val="left"/>
      <w:pPr>
        <w:ind w:left="900" w:hanging="420"/>
      </w:pPr>
      <w:rPr>
        <w:rFonts w:hint="default" w:ascii="Wingdings" w:hAnsi="Wingdings" w:cs="Wingdings"/>
      </w:rPr>
    </w:lvl>
    <w:lvl w:ilvl="1" w:tentative="0">
      <w:start w:val="1"/>
      <w:numFmt w:val="bullet"/>
      <w:lvlText w:val=""/>
      <w:lvlJc w:val="left"/>
      <w:pPr>
        <w:ind w:left="1320" w:hanging="420"/>
      </w:pPr>
      <w:rPr>
        <w:rFonts w:hint="default" w:ascii="MetaNormalLF-Roman" w:hAnsi="MetaNormalLF-Roman" w:eastAsia="MetaNormalLF-Roman" w:cs="MetaNormalLF-Roman"/>
      </w:rPr>
    </w:lvl>
    <w:lvl w:ilvl="2" w:tentative="0">
      <w:start w:val="1"/>
      <w:numFmt w:val="bullet"/>
      <w:lvlText w:val=""/>
      <w:lvlJc w:val="left"/>
      <w:pPr>
        <w:ind w:left="1740" w:hanging="420"/>
      </w:pPr>
      <w:rPr>
        <w:rFonts w:hint="default" w:ascii="MetaNormalLF-Roman" w:hAnsi="MetaNormalLF-Roman" w:eastAsia="MetaNormalLF-Roman" w:cs="MetaNormalLF-Roman"/>
      </w:rPr>
    </w:lvl>
    <w:lvl w:ilvl="3" w:tentative="0">
      <w:start w:val="1"/>
      <w:numFmt w:val="bullet"/>
      <w:lvlText w:val=""/>
      <w:lvlJc w:val="left"/>
      <w:pPr>
        <w:ind w:left="2160" w:hanging="420"/>
      </w:pPr>
      <w:rPr>
        <w:rFonts w:hint="default" w:ascii="MetaNormalLF-Roman" w:hAnsi="MetaNormalLF-Roman" w:eastAsia="MetaNormalLF-Roman" w:cs="MetaNormalLF-Roman"/>
      </w:rPr>
    </w:lvl>
    <w:lvl w:ilvl="4" w:tentative="0">
      <w:start w:val="1"/>
      <w:numFmt w:val="bullet"/>
      <w:lvlText w:val=""/>
      <w:lvlJc w:val="left"/>
      <w:pPr>
        <w:ind w:left="2580" w:hanging="420"/>
      </w:pPr>
      <w:rPr>
        <w:rFonts w:hint="default" w:ascii="MetaNormalLF-Roman" w:hAnsi="MetaNormalLF-Roman" w:eastAsia="MetaNormalLF-Roman" w:cs="MetaNormalLF-Roman"/>
      </w:rPr>
    </w:lvl>
    <w:lvl w:ilvl="5" w:tentative="0">
      <w:start w:val="1"/>
      <w:numFmt w:val="bullet"/>
      <w:lvlText w:val=""/>
      <w:lvlJc w:val="left"/>
      <w:pPr>
        <w:ind w:left="3000" w:hanging="420"/>
      </w:pPr>
      <w:rPr>
        <w:rFonts w:hint="default" w:ascii="MetaNormalLF-Roman" w:hAnsi="MetaNormalLF-Roman" w:eastAsia="MetaNormalLF-Roman" w:cs="MetaNormalLF-Roman"/>
      </w:rPr>
    </w:lvl>
    <w:lvl w:ilvl="6" w:tentative="0">
      <w:start w:val="1"/>
      <w:numFmt w:val="bullet"/>
      <w:lvlText w:val=""/>
      <w:lvlJc w:val="left"/>
      <w:pPr>
        <w:ind w:left="3420" w:hanging="420"/>
      </w:pPr>
      <w:rPr>
        <w:rFonts w:hint="default" w:ascii="MetaNormalLF-Roman" w:hAnsi="MetaNormalLF-Roman" w:eastAsia="MetaNormalLF-Roman" w:cs="MetaNormalLF-Roman"/>
      </w:rPr>
    </w:lvl>
    <w:lvl w:ilvl="7" w:tentative="0">
      <w:start w:val="1"/>
      <w:numFmt w:val="bullet"/>
      <w:lvlText w:val=""/>
      <w:lvlJc w:val="left"/>
      <w:pPr>
        <w:ind w:left="3840" w:hanging="420"/>
      </w:pPr>
      <w:rPr>
        <w:rFonts w:hint="default" w:ascii="MetaNormalLF-Roman" w:hAnsi="MetaNormalLF-Roman" w:eastAsia="MetaNormalLF-Roman" w:cs="MetaNormalLF-Roman"/>
      </w:rPr>
    </w:lvl>
    <w:lvl w:ilvl="8" w:tentative="0">
      <w:start w:val="1"/>
      <w:numFmt w:val="bullet"/>
      <w:lvlText w:val=""/>
      <w:lvlJc w:val="left"/>
      <w:pPr>
        <w:ind w:left="4260" w:hanging="420"/>
      </w:pPr>
      <w:rPr>
        <w:rFonts w:hint="default" w:ascii="MetaNormalLF-Roman" w:hAnsi="MetaNormalLF-Roman" w:eastAsia="MetaNormalLF-Roman" w:cs="MetaNormalLF-Roman"/>
      </w:rPr>
    </w:lvl>
  </w:abstractNum>
  <w:num w:numId="1">
    <w:abstractNumId w:val="34"/>
  </w:num>
  <w:num w:numId="2">
    <w:abstractNumId w:val="33"/>
  </w:num>
  <w:num w:numId="3">
    <w:abstractNumId w:val="44"/>
  </w:num>
  <w:num w:numId="4">
    <w:abstractNumId w:val="26"/>
  </w:num>
  <w:num w:numId="5">
    <w:abstractNumId w:val="32"/>
  </w:num>
  <w:num w:numId="6">
    <w:abstractNumId w:val="15"/>
  </w:num>
  <w:num w:numId="7">
    <w:abstractNumId w:val="5"/>
  </w:num>
  <w:num w:numId="8">
    <w:abstractNumId w:val="2"/>
  </w:num>
  <w:num w:numId="9">
    <w:abstractNumId w:val="41"/>
  </w:num>
  <w:num w:numId="10">
    <w:abstractNumId w:val="8"/>
  </w:num>
  <w:num w:numId="11">
    <w:abstractNumId w:val="43"/>
  </w:num>
  <w:num w:numId="12">
    <w:abstractNumId w:val="9"/>
  </w:num>
  <w:num w:numId="13">
    <w:abstractNumId w:val="23"/>
  </w:num>
  <w:num w:numId="14">
    <w:abstractNumId w:val="0"/>
  </w:num>
  <w:num w:numId="15">
    <w:abstractNumId w:val="38"/>
  </w:num>
  <w:num w:numId="16">
    <w:abstractNumId w:val="17"/>
  </w:num>
  <w:num w:numId="17">
    <w:abstractNumId w:val="39"/>
  </w:num>
  <w:num w:numId="18">
    <w:abstractNumId w:val="7"/>
  </w:num>
  <w:num w:numId="19">
    <w:abstractNumId w:val="1"/>
  </w:num>
  <w:num w:numId="20">
    <w:abstractNumId w:val="37"/>
  </w:num>
  <w:num w:numId="21">
    <w:abstractNumId w:val="13"/>
  </w:num>
  <w:num w:numId="22">
    <w:abstractNumId w:val="27"/>
  </w:num>
  <w:num w:numId="23">
    <w:abstractNumId w:val="30"/>
  </w:num>
  <w:num w:numId="24">
    <w:abstractNumId w:val="35"/>
  </w:num>
  <w:num w:numId="25">
    <w:abstractNumId w:val="24"/>
  </w:num>
  <w:num w:numId="26">
    <w:abstractNumId w:val="29"/>
  </w:num>
  <w:num w:numId="27">
    <w:abstractNumId w:val="16"/>
  </w:num>
  <w:num w:numId="28">
    <w:abstractNumId w:val="10"/>
  </w:num>
  <w:num w:numId="29">
    <w:abstractNumId w:val="14"/>
  </w:num>
  <w:num w:numId="30">
    <w:abstractNumId w:val="6"/>
  </w:num>
  <w:num w:numId="31">
    <w:abstractNumId w:val="42"/>
  </w:num>
  <w:num w:numId="32">
    <w:abstractNumId w:val="31"/>
  </w:num>
  <w:num w:numId="33">
    <w:abstractNumId w:val="4"/>
  </w:num>
  <w:num w:numId="34">
    <w:abstractNumId w:val="40"/>
  </w:num>
  <w:num w:numId="35">
    <w:abstractNumId w:val="28"/>
  </w:num>
  <w:num w:numId="36">
    <w:abstractNumId w:val="25"/>
  </w:num>
  <w:num w:numId="37">
    <w:abstractNumId w:val="18"/>
  </w:num>
  <w:num w:numId="38">
    <w:abstractNumId w:val="21"/>
  </w:num>
  <w:num w:numId="39">
    <w:abstractNumId w:val="20"/>
  </w:num>
  <w:num w:numId="40">
    <w:abstractNumId w:val="12"/>
  </w:num>
  <w:num w:numId="41">
    <w:abstractNumId w:val="46"/>
  </w:num>
  <w:num w:numId="42">
    <w:abstractNumId w:val="22"/>
  </w:num>
  <w:num w:numId="43">
    <w:abstractNumId w:val="45"/>
  </w:num>
  <w:num w:numId="44">
    <w:abstractNumId w:val="3"/>
  </w:num>
  <w:num w:numId="45">
    <w:abstractNumId w:val="11"/>
  </w:num>
  <w:num w:numId="46">
    <w:abstractNumId w:val="36"/>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E27EFC"/>
    <w:rsid w:val="03602F97"/>
    <w:rsid w:val="084504E6"/>
    <w:rsid w:val="3E691DE9"/>
    <w:rsid w:val="3F7FC902"/>
    <w:rsid w:val="51656440"/>
    <w:rsid w:val="55C84191"/>
    <w:rsid w:val="64E27EFC"/>
    <w:rsid w:val="73EA4857"/>
    <w:rsid w:val="74EF154B"/>
    <w:rsid w:val="7AEC5358"/>
    <w:rsid w:val="7E6671D0"/>
    <w:rsid w:val="7FA5FF02"/>
    <w:rsid w:val="8E5FF982"/>
    <w:rsid w:val="996F1920"/>
    <w:rsid w:val="BED7BDF8"/>
    <w:rsid w:val="F5EA3517"/>
    <w:rsid w:val="F7FDE935"/>
    <w:rsid w:val="FDF33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3"/>
    <w:unhideWhenUsed/>
    <w:qFormat/>
    <w:uiPriority w:val="0"/>
    <w:pPr>
      <w:keepNext/>
      <w:keepLines/>
      <w:numPr>
        <w:ilvl w:val="1"/>
        <w:numId w:val="1"/>
      </w:numPr>
      <w:spacing w:before="50" w:beforeLines="50" w:after="50" w:afterLines="50"/>
      <w:ind w:firstLineChars="0"/>
      <w:outlineLvl w:val="1"/>
    </w:pPr>
    <w:rPr>
      <w:rFonts w:eastAsia="黑体" w:asciiTheme="majorHAnsi" w:hAnsiTheme="majorHAnsi" w:cstheme="majorBidi"/>
      <w:b/>
      <w:bCs/>
      <w:sz w:val="32"/>
      <w:szCs w:val="32"/>
    </w:rPr>
  </w:style>
  <w:style w:type="paragraph" w:styleId="4">
    <w:name w:val="heading 3"/>
    <w:basedOn w:val="1"/>
    <w:next w:val="3"/>
    <w:unhideWhenUsed/>
    <w:qFormat/>
    <w:uiPriority w:val="0"/>
    <w:pPr>
      <w:keepNext/>
      <w:keepLines/>
      <w:numPr>
        <w:ilvl w:val="2"/>
        <w:numId w:val="1"/>
      </w:numPr>
      <w:spacing w:before="50" w:beforeLines="50" w:after="50" w:afterLines="50"/>
      <w:ind w:firstLineChars="0"/>
      <w:outlineLvl w:val="2"/>
    </w:pPr>
    <w:rPr>
      <w:rFonts w:eastAsia="黑体"/>
      <w:b/>
      <w:bCs/>
      <w:sz w:val="30"/>
      <w:szCs w:val="32"/>
    </w:rPr>
  </w:style>
  <w:style w:type="paragraph" w:styleId="5">
    <w:name w:val="heading 4"/>
    <w:basedOn w:val="6"/>
    <w:next w:val="1"/>
    <w:unhideWhenUsed/>
    <w:qFormat/>
    <w:uiPriority w:val="0"/>
    <w:pPr>
      <w:keepNext/>
      <w:keepLines/>
      <w:numPr>
        <w:ilvl w:val="3"/>
        <w:numId w:val="1"/>
      </w:numPr>
      <w:spacing w:before="50" w:beforeLines="50" w:after="50" w:afterLines="50"/>
      <w:ind w:firstLine="0" w:firstLineChars="0"/>
      <w:outlineLvl w:val="3"/>
    </w:pPr>
    <w:rPr>
      <w:rFonts w:eastAsia="黑体" w:asciiTheme="majorAscii" w:hAnsiTheme="majorAscii" w:cstheme="majorBidi"/>
      <w:b/>
      <w:bCs/>
      <w:sz w:val="28"/>
      <w:szCs w:val="28"/>
    </w:rPr>
  </w:style>
  <w:style w:type="paragraph" w:styleId="7">
    <w:name w:val="heading 5"/>
    <w:basedOn w:val="1"/>
    <w:next w:val="1"/>
    <w:unhideWhenUsed/>
    <w:qFormat/>
    <w:uiPriority w:val="0"/>
    <w:pPr>
      <w:keepNext/>
      <w:keepLines/>
      <w:numPr>
        <w:ilvl w:val="4"/>
        <w:numId w:val="1"/>
      </w:numPr>
      <w:spacing w:before="50" w:beforeLines="50" w:after="50" w:afterLines="50"/>
      <w:ind w:firstLine="0" w:firstLineChars="0"/>
      <w:outlineLvl w:val="4"/>
    </w:pPr>
    <w:rPr>
      <w:rFonts w:ascii="Times New Roman" w:hAnsi="Times New Roman" w:eastAsia="黑体"/>
      <w:b/>
      <w:bCs/>
      <w:szCs w:val="28"/>
    </w:rPr>
  </w:style>
  <w:style w:type="paragraph" w:styleId="8">
    <w:name w:val="heading 6"/>
    <w:basedOn w:val="1"/>
    <w:next w:val="1"/>
    <w:unhideWhenUsed/>
    <w:qFormat/>
    <w:uiPriority w:val="0"/>
    <w:pPr>
      <w:keepNext/>
      <w:keepLines/>
      <w:numPr>
        <w:ilvl w:val="5"/>
        <w:numId w:val="1"/>
      </w:numPr>
      <w:spacing w:before="50" w:beforeLines="50" w:after="50" w:afterLines="50"/>
      <w:ind w:firstLineChars="0"/>
      <w:outlineLvl w:val="5"/>
    </w:pPr>
    <w:rPr>
      <w:rFonts w:eastAsia="黑体" w:asciiTheme="majorHAnsi" w:hAnsiTheme="majorHAnsi" w:cstheme="majorBidi"/>
      <w:b/>
      <w:bCs/>
    </w:rPr>
  </w:style>
  <w:style w:type="paragraph" w:styleId="9">
    <w:name w:val="heading 7"/>
    <w:basedOn w:val="1"/>
    <w:next w:val="1"/>
    <w:unhideWhenUsed/>
    <w:qFormat/>
    <w:uiPriority w:val="0"/>
    <w:pPr>
      <w:keepNext/>
      <w:keepLines/>
      <w:numPr>
        <w:ilvl w:val="6"/>
        <w:numId w:val="1"/>
      </w:numPr>
      <w:spacing w:before="240" w:after="64" w:line="360" w:lineRule="auto"/>
      <w:ind w:firstLineChars="0"/>
      <w:outlineLvl w:val="6"/>
    </w:pPr>
    <w:rPr>
      <w:rFonts w:ascii="Times New Roman" w:hAnsi="Times New Roman" w:eastAsia="宋体"/>
      <w:b/>
      <w:bCs/>
    </w:rPr>
  </w:style>
  <w:style w:type="paragraph" w:styleId="10">
    <w:name w:val="heading 8"/>
    <w:basedOn w:val="1"/>
    <w:next w:val="1"/>
    <w:unhideWhenUsed/>
    <w:qFormat/>
    <w:uiPriority w:val="0"/>
    <w:pPr>
      <w:keepNext/>
      <w:keepLines/>
      <w:numPr>
        <w:ilvl w:val="7"/>
        <w:numId w:val="1"/>
      </w:numPr>
      <w:spacing w:before="240" w:after="64" w:line="360" w:lineRule="auto"/>
      <w:ind w:firstLineChars="0"/>
      <w:outlineLvl w:val="7"/>
    </w:pPr>
    <w:rPr>
      <w:rFonts w:asciiTheme="majorAscii" w:hAnsiTheme="majorAscii" w:eastAsiaTheme="majorEastAsia" w:cstheme="majorBidi"/>
    </w:rPr>
  </w:style>
  <w:style w:type="paragraph" w:styleId="11">
    <w:name w:val="heading 9"/>
    <w:basedOn w:val="1"/>
    <w:next w:val="1"/>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3">
    <w:name w:val="Body Text"/>
    <w:basedOn w:val="1"/>
    <w:unhideWhenUsed/>
    <w:qFormat/>
    <w:uiPriority w:val="0"/>
    <w:pPr>
      <w:spacing w:after="120"/>
    </w:pPr>
  </w:style>
  <w:style w:type="paragraph" w:customStyle="1" w:styleId="6">
    <w:name w:val="正文不缩进"/>
    <w:basedOn w:val="1"/>
    <w:qFormat/>
    <w:uiPriority w:val="0"/>
    <w:pPr>
      <w:textAlignment w:val="bottom"/>
    </w:pPr>
    <w:rPr>
      <w:rFonts w:ascii="Times New Roman" w:hAnsi="Times New Roman"/>
      <w:sz w:val="24"/>
    </w:rPr>
  </w:style>
  <w:style w:type="paragraph" w:styleId="12">
    <w:name w:val="caption"/>
    <w:basedOn w:val="1"/>
    <w:next w:val="1"/>
    <w:unhideWhenUsed/>
    <w:qFormat/>
    <w:uiPriority w:val="35"/>
    <w:pPr>
      <w:ind w:firstLine="0" w:firstLineChars="0"/>
    </w:pPr>
    <w:rPr>
      <w:rFonts w:cstheme="majorBidi"/>
      <w:sz w:val="21"/>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able of figures"/>
    <w:basedOn w:val="1"/>
    <w:next w:val="1"/>
    <w:qFormat/>
    <w:uiPriority w:val="0"/>
    <w:pPr>
      <w:numPr>
        <w:ilvl w:val="0"/>
        <w:numId w:val="2"/>
      </w:numPr>
      <w:jc w:val="center"/>
    </w:pPr>
    <w:rPr>
      <w:sz w:val="21"/>
    </w:rPr>
  </w:style>
  <w:style w:type="paragraph" w:styleId="16">
    <w:name w:val="Body Text First Indent"/>
    <w:basedOn w:val="3"/>
    <w:qFormat/>
    <w:uiPriority w:val="0"/>
    <w:pPr>
      <w:tabs>
        <w:tab w:val="left" w:pos="0"/>
      </w:tabs>
      <w:spacing w:before="156" w:beforeLines="50" w:after="156" w:afterLines="50"/>
      <w:ind w:firstLine="420" w:firstLineChars="100"/>
    </w:pPr>
    <w:rPr>
      <w:rFonts w:ascii="MingLiU" w:eastAsia="MingLiU"/>
      <w:spacing w:val="30"/>
    </w:rPr>
  </w:style>
  <w:style w:type="paragraph" w:styleId="17">
    <w:name w:val="Body Text First Indent 2"/>
    <w:basedOn w:val="1"/>
    <w:next w:val="1"/>
    <w:unhideWhenUsed/>
    <w:qFormat/>
    <w:uiPriority w:val="99"/>
    <w:pPr>
      <w:ind w:firstLine="420"/>
    </w:p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paragraph" w:customStyle="1" w:styleId="22">
    <w:name w:val="样式  + 首行缩进:  2 字符"/>
    <w:basedOn w:val="17"/>
    <w:next w:val="1"/>
    <w:qFormat/>
    <w:uiPriority w:val="0"/>
    <w:pPr>
      <w:widowControl/>
      <w:adjustRightInd w:val="0"/>
      <w:ind w:firstLine="524"/>
      <w:jc w:val="left"/>
    </w:pPr>
    <w:rPr>
      <w:rFonts w:ascii="宋体" w:hAnsi="宋体" w:cs="宋体"/>
      <w:snapToGrid w:val="0"/>
      <w:spacing w:val="11"/>
      <w:kern w:val="0"/>
    </w:rPr>
  </w:style>
  <w:style w:type="paragraph" w:customStyle="1" w:styleId="23">
    <w:name w:val="!我的正文 Ctr+Q"/>
    <w:basedOn w:val="1"/>
    <w:qFormat/>
    <w:uiPriority w:val="0"/>
    <w:pPr>
      <w:ind w:firstLine="480"/>
    </w:pPr>
  </w:style>
  <w:style w:type="paragraph" w:customStyle="1" w:styleId="24">
    <w:name w:val="图片居中"/>
    <w:basedOn w:val="1"/>
    <w:qFormat/>
    <w:uiPriority w:val="0"/>
    <w:pPr>
      <w:ind w:firstLine="0" w:firstLineChars="0"/>
      <w:jc w:val="center"/>
    </w:pPr>
  </w:style>
  <w:style w:type="paragraph" w:customStyle="1" w:styleId="25">
    <w:name w:val="正文圆点"/>
    <w:basedOn w:val="23"/>
    <w:qFormat/>
    <w:uiPriority w:val="0"/>
    <w:pPr>
      <w:numPr>
        <w:ilvl w:val="0"/>
        <w:numId w:val="3"/>
      </w:numPr>
      <w:ind w:firstLine="0" w:firstLineChars="0"/>
    </w:pPr>
    <w:rPr>
      <w:lang w:val="en-GB"/>
    </w:rPr>
  </w:style>
  <w:style w:type="paragraph" w:customStyle="1" w:styleId="26">
    <w:name w:val="正文内容"/>
    <w:basedOn w:val="1"/>
    <w:qFormat/>
    <w:uiPriority w:val="0"/>
    <w:pPr>
      <w:ind w:firstLine="420" w:firstLineChars="0"/>
    </w:pPr>
    <w:rPr>
      <w:kern w:val="0"/>
    </w:rPr>
  </w:style>
  <w:style w:type="paragraph" w:customStyle="1" w:styleId="27">
    <w:name w:val="ds-markdown-paragraph"/>
    <w:basedOn w:val="1"/>
    <w:qFormat/>
    <w:uiPriority w:val="0"/>
    <w:pPr>
      <w:widowControl/>
      <w:snapToGrid/>
      <w:spacing w:before="100" w:beforeAutospacing="1" w:after="100" w:afterAutospacing="1" w:line="240" w:lineRule="auto"/>
      <w:ind w:firstLine="0" w:firstLineChars="0"/>
      <w:jc w:val="left"/>
    </w:pPr>
    <w:rPr>
      <w:rFonts w:ascii="宋体" w:hAnsi="宋体" w:cs="宋体"/>
      <w:kern w:val="0"/>
    </w:rPr>
  </w:style>
  <w:style w:type="paragraph" w:customStyle="1" w:styleId="28">
    <w:name w:val="正文（缩进）"/>
    <w:basedOn w:val="1"/>
    <w:next w:val="1"/>
    <w:qFormat/>
    <w:uiPriority w:val="0"/>
    <w:pPr>
      <w:spacing w:before="156" w:beforeLines="50" w:after="156" w:afterLines="50"/>
      <w:ind w:firstLine="480"/>
    </w:pPr>
    <w:rPr>
      <w:kern w:val="0"/>
      <w:szCs w:val="20"/>
    </w:rPr>
  </w:style>
  <w:style w:type="paragraph" w:styleId="29">
    <w:name w:val="List Paragraph"/>
    <w:basedOn w:val="1"/>
    <w:qFormat/>
    <w:uiPriority w:val="34"/>
    <w:pPr>
      <w:ind w:firstLine="420"/>
    </w:pPr>
  </w:style>
  <w:style w:type="paragraph" w:customStyle="1" w:styleId="30">
    <w:name w:val="表格_编号"/>
    <w:basedOn w:val="31"/>
    <w:qFormat/>
    <w:uiPriority w:val="0"/>
    <w:pPr>
      <w:keepNext/>
      <w:numPr>
        <w:ilvl w:val="0"/>
        <w:numId w:val="4"/>
      </w:numPr>
      <w:spacing w:before="50" w:beforeLines="50" w:line="240" w:lineRule="auto"/>
      <w:ind w:firstLine="0" w:firstLineChars="0"/>
      <w:jc w:val="center"/>
      <w:textAlignment w:val="baseline"/>
    </w:pPr>
    <w:rPr>
      <w:rFonts w:ascii="宋体" w:hAnsi="宋体"/>
      <w:spacing w:val="4"/>
      <w:sz w:val="21"/>
    </w:rPr>
  </w:style>
  <w:style w:type="paragraph" w:customStyle="1" w:styleId="31">
    <w:name w:val="文档正文"/>
    <w:basedOn w:val="1"/>
    <w:qFormat/>
    <w:uiPriority w:val="0"/>
    <w:pPr>
      <w:snapToGrid/>
      <w:ind w:firstLine="480"/>
    </w:pPr>
  </w:style>
  <w:style w:type="paragraph" w:customStyle="1" w:styleId="32">
    <w:name w:val="表内"/>
    <w:basedOn w:val="1"/>
    <w:next w:val="1"/>
    <w:qFormat/>
    <w:uiPriority w:val="0"/>
    <w:pPr>
      <w:widowControl/>
      <w:spacing w:line="240" w:lineRule="auto"/>
      <w:ind w:firstLine="0" w:firstLineChars="0"/>
      <w:jc w:val="center"/>
    </w:pPr>
    <w:rPr>
      <w:rFonts w:hint="eastAsia" w:ascii="仿宋" w:hAnsi="仿宋"/>
      <w:kern w:val="0"/>
      <w:sz w:val="20"/>
      <w:szCs w:val="20"/>
    </w:rPr>
  </w:style>
  <w:style w:type="character" w:customStyle="1" w:styleId="33">
    <w:name w:val="font11"/>
    <w:basedOn w:val="20"/>
    <w:qFormat/>
    <w:uiPriority w:val="0"/>
    <w:rPr>
      <w:rFonts w:hint="default" w:ascii="Segoe UI" w:hAnsi="Segoe UI" w:eastAsia="Segoe UI" w:cs="Segoe UI"/>
      <w:color w:val="000000"/>
      <w:sz w:val="22"/>
      <w:szCs w:val="22"/>
      <w:u w:val="none"/>
    </w:rPr>
  </w:style>
  <w:style w:type="character" w:customStyle="1" w:styleId="34">
    <w:name w:val="font21"/>
    <w:basedOn w:val="20"/>
    <w:qFormat/>
    <w:uiPriority w:val="0"/>
    <w:rPr>
      <w:rFonts w:hint="eastAsia" w:ascii="宋体" w:hAnsi="宋体" w:eastAsia="宋体" w:cs="宋体"/>
      <w:color w:val="000000"/>
      <w:sz w:val="23"/>
      <w:szCs w:val="23"/>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0" Type="http://schemas.openxmlformats.org/officeDocument/2006/relationships/fontTable" Target="fontTable.xml"/><Relationship Id="rId7" Type="http://schemas.openxmlformats.org/officeDocument/2006/relationships/image" Target="media/image3.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2.emf"/><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emf"/><Relationship Id="rId61" Type="http://schemas.openxmlformats.org/officeDocument/2006/relationships/image" Target="media/image56.png"/><Relationship Id="rId60" Type="http://schemas.openxmlformats.org/officeDocument/2006/relationships/image" Target="media/image55.jpeg"/><Relationship Id="rId6" Type="http://schemas.openxmlformats.org/officeDocument/2006/relationships/image" Target="media/image2.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image" Target="media/image1.png"/><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emf"/><Relationship Id="rId32" Type="http://schemas.openxmlformats.org/officeDocument/2006/relationships/oleObject" Target="embeddings/oleObject1.bin"/><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194</Pages>
  <Words>0</Words>
  <Characters>0</Characters>
  <Lines>0</Lines>
  <Paragraphs>0</Paragraphs>
  <TotalTime>40</TotalTime>
  <ScaleCrop>false</ScaleCrop>
  <LinksUpToDate>false</LinksUpToDate>
  <CharactersWithSpaces>0</CharactersWithSpaces>
  <Application>WPS Office_11.8.2.1132_F1E327BC-269C-435d-A152-05C5408002CA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2026-06-03T08:09:00Z</dcterms:created>
  <dc:creator>HC02</dc:creator>
  <cp:lastModifiedBy>uos</cp:lastModifiedBy>
  <dcterms:modified xsi:type="dcterms:W3CDTF">2026-06-04T16:23:41Z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2052-11.8.2.1132</vt:lpwstr>
  </property>
  <property fmtid="{D5CDD505-2E9C-101B-9397-08002B2CF9AE}" pid="3" name="ICV">
    <vt:lpwstr>272F9FF16F8A49529AFF3AB95630E44B_11</vt:lpwstr>
  </property>
  <property fmtid="{D5CDD505-2E9C-101B-9397-08002B2CF9AE}" pid="4" name="KSOTemplateDocerSaveRecord">
    <vt:lpwstr>eyJoZGlkIjoiNzYyOWY3N2ViNTdjOTk4NGUzOWRiYzQ0OTAxY2NiZDQiLCJ1c2VySWQiOiIxMzU2NDg1NzYyIn0=</vt:lpwstr>
  </property>
</Properties>
</file>